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936F" w14:textId="77777777" w:rsidR="009D3C64" w:rsidRDefault="00184033">
      <w:r>
        <w:rPr>
          <w:rFonts w:ascii="Arial" w:eastAsia="Times New Roman" w:hAnsi="Arial" w:cs="Arial"/>
          <w:b/>
          <w:u w:val="single"/>
          <w:lang w:val="en-US"/>
        </w:rPr>
        <w:t>How it is estimated your IVA payments will be divided between costs and debt repayment</w:t>
      </w:r>
      <w:r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</w:rPr>
        <w:t>[insolvency practitioners can show the data in whatever visual way they think is most useful to consumers i.e. bar chart, pie diagram.</w:t>
      </w:r>
    </w:p>
    <w:tbl>
      <w:tblPr>
        <w:tblW w:w="130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1565"/>
        <w:gridCol w:w="1418"/>
        <w:gridCol w:w="1513"/>
        <w:gridCol w:w="1322"/>
        <w:gridCol w:w="1238"/>
        <w:gridCol w:w="1738"/>
        <w:gridCol w:w="1738"/>
      </w:tblGrid>
      <w:tr w:rsidR="009D3C64" w14:paraId="700479B2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EB8E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  <w:p w14:paraId="5A7F8572" w14:textId="77777777" w:rsidR="009D3C64" w:rsidRDefault="009D3C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3E9A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  <w:p w14:paraId="54819221" w14:textId="77777777" w:rsidR="009D3C64" w:rsidRDefault="009D3C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E351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606A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68A6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6D3D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19B31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6 </w:t>
            </w:r>
          </w:p>
          <w:p w14:paraId="25CBA56E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(72 month IVA due to Equity)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645E7" w14:textId="77777777" w:rsidR="009D3C64" w:rsidRDefault="0018403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9D3C64" w14:paraId="199B38E5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8624" w14:textId="77777777" w:rsidR="009D3C64" w:rsidRDefault="00184033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Your contribution (£)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D0033F" w14:textId="77777777" w:rsidR="009D3C64" w:rsidRDefault="00184033">
            <w:pPr>
              <w:pStyle w:val="paragraph"/>
              <w:spacing w:before="0" w:after="0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5E94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3AC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3A82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4BB7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B980D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0C21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F2CEC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3C64" w14:paraId="7B4B625D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276E4" w14:textId="77777777" w:rsidR="009D3C64" w:rsidRDefault="00184033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Estimated fee for supervision of your IVA (£)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087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  <w:p w14:paraId="66D353DE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  <w:p w14:paraId="544549FB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1654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3675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0B36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DA59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9055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CAFF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3C64" w14:paraId="51CF914E" w14:textId="77777777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7FCD" w14:textId="77777777" w:rsidR="009D3C64" w:rsidRDefault="00184033">
            <w:pPr>
              <w:pStyle w:val="paragraph"/>
              <w:spacing w:before="0" w:after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Estimated amount paid your creditors (£)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9240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D8F4C41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  <w:p w14:paraId="7D6D63DA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A757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AC44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899E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2EDE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C487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34CA1" w14:textId="77777777" w:rsidR="009D3C64" w:rsidRDefault="009D3C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064EDB" w14:textId="77777777" w:rsidR="009D3C64" w:rsidRDefault="009D3C64">
      <w:pPr>
        <w:rPr>
          <w:rFonts w:ascii="Arial" w:hAnsi="Arial" w:cs="Arial"/>
          <w:sz w:val="20"/>
        </w:rPr>
      </w:pPr>
    </w:p>
    <w:p w14:paraId="440BE227" w14:textId="77777777" w:rsidR="009D3C64" w:rsidRDefault="00184033">
      <w:r>
        <w:rPr>
          <w:noProof/>
        </w:rPr>
        <w:drawing>
          <wp:inline distT="0" distB="0" distL="0" distR="0" wp14:anchorId="2672AC1A" wp14:editId="18412C74">
            <wp:extent cx="3428369" cy="2952753"/>
            <wp:effectExtent l="0" t="0" r="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530ACD" wp14:editId="67D217D6">
            <wp:extent cx="4962521" cy="2743200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EFCDA9" w14:textId="77777777" w:rsidR="009D3C64" w:rsidRDefault="009D3C64">
      <w:pPr>
        <w:rPr>
          <w:b/>
          <w:u w:val="single"/>
        </w:rPr>
      </w:pPr>
    </w:p>
    <w:p w14:paraId="08B1778F" w14:textId="77777777" w:rsidR="009D3C64" w:rsidRDefault="009D3C64"/>
    <w:p w14:paraId="1B444E0B" w14:textId="77777777" w:rsidR="009D3C64" w:rsidRDefault="009D3C64"/>
    <w:sectPr w:rsidR="009D3C64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934D" w14:textId="77777777" w:rsidR="00184033" w:rsidRDefault="00184033">
      <w:pPr>
        <w:spacing w:after="0" w:line="240" w:lineRule="auto"/>
      </w:pPr>
      <w:r>
        <w:separator/>
      </w:r>
    </w:p>
  </w:endnote>
  <w:endnote w:type="continuationSeparator" w:id="0">
    <w:p w14:paraId="2310A7B7" w14:textId="77777777" w:rsidR="00184033" w:rsidRDefault="001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072E" w14:textId="77777777" w:rsidR="00184033" w:rsidRDefault="001840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C368C" w14:textId="77777777" w:rsidR="00184033" w:rsidRDefault="00184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C64"/>
    <w:rsid w:val="00184033"/>
    <w:rsid w:val="009D3C64"/>
    <w:rsid w:val="00A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95E5"/>
  <w15:docId w15:val="{10888FE6-161D-4CC8-B1BC-761AFC8E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paragraph">
    <w:name w:val="paragraph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U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Year 1 contributions 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Series1</c:v>
          </c:tx>
          <c:dPt>
            <c:idx val="0"/>
            <c:bubble3D val="0"/>
            <c:spPr>
              <a:solidFill>
                <a:srgbClr val="4472C4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F7C-4F0E-B9BC-A940C224F8F3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F7C-4F0E-B9BC-A940C224F8F3}"/>
              </c:ext>
            </c:extLst>
          </c:dPt>
          <c:cat>
            <c:strLit>
              <c:ptCount val="2"/>
              <c:pt idx="0">
                <c:v>fee for supervision of your IVA</c:v>
              </c:pt>
              <c:pt idx="1">
                <c:v>How much you pay to your creditors </c:v>
              </c:pt>
            </c:strLit>
          </c:cat>
          <c:val>
            <c:numLit>
              <c:formatCode>General</c:formatCode>
              <c:ptCount val="2"/>
              <c:pt idx="0">
                <c:v>1000</c:v>
              </c:pt>
              <c:pt idx="1">
                <c:v>200</c:v>
              </c:pt>
            </c:numLit>
          </c:val>
          <c:extLst>
            <c:ext xmlns:c16="http://schemas.microsoft.com/office/drawing/2014/chart" uri="{C3380CC4-5D6E-409C-BE32-E72D297353CC}">
              <c16:uniqueId val="{00000004-C6A5-4422-8B51-4E3DF2AC5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n-U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9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c:style val="2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en-US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How it is estimated your IVA payments will be divided between costs and debt repayment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Supervisor fee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year 1</c:v>
              </c:pt>
              <c:pt idx="1">
                <c:v>year 2</c:v>
              </c:pt>
              <c:pt idx="2">
                <c:v>year 3</c:v>
              </c:pt>
              <c:pt idx="3">
                <c:v>year 4</c:v>
              </c:pt>
              <c:pt idx="4">
                <c:v>year 5</c:v>
              </c:pt>
              <c:pt idx="5">
                <c:v>year 6</c:v>
              </c:pt>
            </c:strLit>
          </c:cat>
          <c:val>
            <c:numLit>
              <c:formatCode>General</c:formatCode>
              <c:ptCount val="6"/>
              <c:pt idx="0">
                <c:v>1100</c:v>
              </c:pt>
              <c:pt idx="1">
                <c:v>850</c:v>
              </c:pt>
              <c:pt idx="2">
                <c:v>730</c:v>
              </c:pt>
              <c:pt idx="3">
                <c:v>600</c:v>
              </c:pt>
              <c:pt idx="4">
                <c:v>370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0-05F2-4413-AD91-7AF9951EE042}"/>
            </c:ext>
          </c:extLst>
        </c:ser>
        <c:ser>
          <c:idx val="1"/>
          <c:order val="1"/>
          <c:tx>
            <c:v>Dividend to creditors 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6"/>
              <c:pt idx="0">
                <c:v>year 1</c:v>
              </c:pt>
              <c:pt idx="1">
                <c:v>year 2</c:v>
              </c:pt>
              <c:pt idx="2">
                <c:v>year 3</c:v>
              </c:pt>
              <c:pt idx="3">
                <c:v>year 4</c:v>
              </c:pt>
              <c:pt idx="4">
                <c:v>year 5</c:v>
              </c:pt>
              <c:pt idx="5">
                <c:v>year 6</c:v>
              </c:pt>
            </c:strLit>
          </c:cat>
          <c:val>
            <c:numLit>
              <c:formatCode>General</c:formatCode>
              <c:ptCount val="6"/>
              <c:pt idx="0">
                <c:v>100</c:v>
              </c:pt>
              <c:pt idx="1">
                <c:v>350</c:v>
              </c:pt>
              <c:pt idx="2">
                <c:v>470</c:v>
              </c:pt>
              <c:pt idx="3">
                <c:v>600</c:v>
              </c:pt>
              <c:pt idx="4">
                <c:v>830</c:v>
              </c:pt>
              <c:pt idx="5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1-05F2-4413-AD91-7AF9951EE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6432447"/>
        <c:axId val="1821679071"/>
      </c:barChart>
      <c:valAx>
        <c:axId val="1821679071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2036432447"/>
        <c:crosses val="autoZero"/>
        <c:crossBetween val="between"/>
      </c:valAx>
      <c:catAx>
        <c:axId val="203643244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en-US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821679071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en-US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Maskell</dc:creator>
  <dc:description/>
  <cp:lastModifiedBy>Ben Luxford</cp:lastModifiedBy>
  <cp:revision>2</cp:revision>
  <dcterms:created xsi:type="dcterms:W3CDTF">2021-05-11T12:34:00Z</dcterms:created>
  <dcterms:modified xsi:type="dcterms:W3CDTF">2021-05-11T12:34:00Z</dcterms:modified>
</cp:coreProperties>
</file>