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12BE" w14:textId="455483EC" w:rsidR="003A2695" w:rsidRDefault="00BC497C" w:rsidP="0087159F">
      <w:pPr>
        <w:pStyle w:val="Body"/>
        <w:pBdr>
          <w:top w:val="single" w:sz="4" w:space="1" w:color="auto"/>
        </w:pBdr>
      </w:pPr>
      <w:bookmarkStart w:id="0" w:name="_GoBack"/>
      <w:bookmarkEnd w:id="0"/>
      <w:r>
        <w:t>Prepared by</w:t>
      </w:r>
      <w:r w:rsidR="009468B7">
        <w:t>:</w:t>
      </w:r>
      <w:r>
        <w:t xml:space="preserve"> </w:t>
      </w:r>
      <w:r w:rsidR="0004581F">
        <w:t>Laurence Raeburn-Smith (</w:t>
      </w:r>
      <w:r w:rsidR="00683811">
        <w:t xml:space="preserve">Senior </w:t>
      </w:r>
      <w:r w:rsidR="0004581F">
        <w:t xml:space="preserve">Policy Officer), 020 7802 0121, </w:t>
      </w:r>
      <w:hyperlink r:id="rId11" w:history="1">
        <w:r w:rsidR="0004581F" w:rsidRPr="00AA2BB6">
          <w:rPr>
            <w:rStyle w:val="Hyperlink"/>
          </w:rPr>
          <w:t>lraeburn-smith@bpf.org.uk</w:t>
        </w:r>
      </w:hyperlink>
      <w:r w:rsidR="00095C7C">
        <w:br/>
      </w:r>
    </w:p>
    <w:p w14:paraId="229369CA" w14:textId="6ABA7FBF" w:rsidR="0004581F" w:rsidRPr="003A2695" w:rsidRDefault="00B53E18" w:rsidP="0087159F">
      <w:pPr>
        <w:pStyle w:val="Body"/>
        <w:pBdr>
          <w:top w:val="single" w:sz="4" w:space="1" w:color="auto"/>
        </w:pBdr>
      </w:pPr>
      <w:r>
        <w:rPr>
          <w:b/>
          <w:sz w:val="28"/>
          <w:szCs w:val="28"/>
        </w:rPr>
        <w:t xml:space="preserve">The British Property Federation </w:t>
      </w:r>
    </w:p>
    <w:p w14:paraId="31121696" w14:textId="77777777" w:rsidR="0004581F" w:rsidRPr="0087159F" w:rsidRDefault="0004581F" w:rsidP="00692106">
      <w:pPr>
        <w:pStyle w:val="Body"/>
        <w:pBdr>
          <w:top w:val="single" w:sz="4" w:space="1" w:color="auto"/>
        </w:pBdr>
      </w:pPr>
    </w:p>
    <w:p w14:paraId="6AC0BAB1" w14:textId="77777777" w:rsidR="009559F3" w:rsidRPr="007670A0" w:rsidRDefault="009559F3" w:rsidP="00907008">
      <w:pPr>
        <w:pStyle w:val="Point"/>
        <w:numPr>
          <w:ilvl w:val="0"/>
          <w:numId w:val="1"/>
        </w:numPr>
      </w:pPr>
      <w:r w:rsidRPr="007670A0">
        <w:t>The British Property Federation (BPF) represents the real estate sector – an industry which contributed more than £100bn to the economy in 2018 and supported more than 2 million jobs.</w:t>
      </w:r>
    </w:p>
    <w:p w14:paraId="7EC715BA" w14:textId="77777777" w:rsidR="009559F3" w:rsidRDefault="009559F3" w:rsidP="00907008">
      <w:pPr>
        <w:pStyle w:val="Point"/>
        <w:numPr>
          <w:ilvl w:val="0"/>
          <w:numId w:val="1"/>
        </w:numPr>
      </w:pPr>
      <w:r w:rsidRPr="007670A0">
        <w:t xml:space="preserve">We promote the interests of those with a stake in the UK built environment, and our membership comprises a broad range of owners, managers and developers of real estate as well as those who support them. Their investments help drive the UK's economic success; provide essential infrastructure and create great places where people can live, work and relax.  </w:t>
      </w:r>
    </w:p>
    <w:p w14:paraId="2A0621AA" w14:textId="07E49EE0" w:rsidR="00D1686D" w:rsidRDefault="00B53E18" w:rsidP="00907008">
      <w:pPr>
        <w:pStyle w:val="Point"/>
        <w:numPr>
          <w:ilvl w:val="0"/>
          <w:numId w:val="1"/>
        </w:numPr>
      </w:pPr>
      <w:r>
        <w:t>This brief</w:t>
      </w:r>
      <w:r w:rsidR="00A12FAB">
        <w:t>ing</w:t>
      </w:r>
      <w:r>
        <w:t xml:space="preserve"> outline</w:t>
      </w:r>
      <w:r w:rsidR="004855A7">
        <w:t>s</w:t>
      </w:r>
      <w:r>
        <w:t xml:space="preserve"> our concerns with the way</w:t>
      </w:r>
      <w:r w:rsidR="00D70671">
        <w:t xml:space="preserve"> in which</w:t>
      </w:r>
      <w:r>
        <w:t xml:space="preserve"> C</w:t>
      </w:r>
      <w:r w:rsidR="00F21E2F">
        <w:t xml:space="preserve">ompany </w:t>
      </w:r>
      <w:r>
        <w:t>V</w:t>
      </w:r>
      <w:r w:rsidR="00F21E2F">
        <w:t>oluntary Arrangements (CVAs)</w:t>
      </w:r>
      <w:r>
        <w:t xml:space="preserve"> are being used</w:t>
      </w:r>
      <w:r w:rsidR="004F4D52">
        <w:t xml:space="preserve"> and some apprehensions we have about</w:t>
      </w:r>
      <w:r w:rsidR="00683811">
        <w:t xml:space="preserve"> how </w:t>
      </w:r>
      <w:r w:rsidR="00750C76">
        <w:t>they</w:t>
      </w:r>
      <w:r w:rsidR="00683811">
        <w:t xml:space="preserve"> are </w:t>
      </w:r>
      <w:r w:rsidR="00B0769A">
        <w:t xml:space="preserve">undermining the property sector’s efforts to </w:t>
      </w:r>
      <w:r w:rsidR="00C656F2">
        <w:t>transform</w:t>
      </w:r>
      <w:r w:rsidR="00B0769A">
        <w:t xml:space="preserve"> our high streets</w:t>
      </w:r>
      <w:r w:rsidR="0087167C">
        <w:t>, particularly in light of the COVID-19 crisis</w:t>
      </w:r>
      <w:r w:rsidR="00E754FC">
        <w:t>.</w:t>
      </w:r>
      <w:r>
        <w:t xml:space="preserve"> </w:t>
      </w:r>
      <w:r w:rsidR="00E754FC">
        <w:t>We</w:t>
      </w:r>
      <w:r>
        <w:t xml:space="preserve"> also </w:t>
      </w:r>
      <w:r w:rsidR="0097230B">
        <w:t>outline</w:t>
      </w:r>
      <w:r w:rsidR="004F4D52">
        <w:t xml:space="preserve"> our</w:t>
      </w:r>
      <w:r w:rsidR="00750C76">
        <w:t xml:space="preserve"> recommendations for g</w:t>
      </w:r>
      <w:r>
        <w:t>overnment</w:t>
      </w:r>
      <w:r w:rsidR="004F4D52">
        <w:t xml:space="preserve"> </w:t>
      </w:r>
      <w:r w:rsidR="00750C76">
        <w:t>as to</w:t>
      </w:r>
      <w:r w:rsidR="004F4D52">
        <w:t xml:space="preserve"> how CVAs can be improved so that they</w:t>
      </w:r>
      <w:r w:rsidR="00D70671">
        <w:t xml:space="preserve"> provide</w:t>
      </w:r>
      <w:r w:rsidR="004F4D52">
        <w:t xml:space="preserve"> for</w:t>
      </w:r>
      <w:r w:rsidR="00D70671">
        <w:t xml:space="preserve"> more transparency, oversight</w:t>
      </w:r>
      <w:r w:rsidR="004F4D52">
        <w:t xml:space="preserve"> </w:t>
      </w:r>
      <w:r w:rsidR="00D70671">
        <w:t>and clarity for creditors</w:t>
      </w:r>
      <w:r w:rsidR="00D1686D">
        <w:t>.</w:t>
      </w:r>
    </w:p>
    <w:p w14:paraId="45E41E3E" w14:textId="484646A2" w:rsidR="0012636F" w:rsidRDefault="00B53E18" w:rsidP="00907008">
      <w:pPr>
        <w:pStyle w:val="Point"/>
        <w:numPr>
          <w:ilvl w:val="0"/>
          <w:numId w:val="1"/>
        </w:numPr>
      </w:pPr>
      <w:r w:rsidRPr="0003033B">
        <w:t xml:space="preserve">We would be delighted to provide further information on any aspect of this paper. Please contact </w:t>
      </w:r>
      <w:r w:rsidR="00E754FC">
        <w:t>Laurence Raeburn-Smith</w:t>
      </w:r>
      <w:r>
        <w:t xml:space="preserve"> (</w:t>
      </w:r>
      <w:r w:rsidR="004F4D52">
        <w:t xml:space="preserve">Senior </w:t>
      </w:r>
      <w:r>
        <w:t>Policy Officer)</w:t>
      </w:r>
      <w:r w:rsidR="009559F3">
        <w:t xml:space="preserve"> at: </w:t>
      </w:r>
      <w:hyperlink r:id="rId12" w:history="1">
        <w:r w:rsidR="009559F3" w:rsidRPr="0075483B">
          <w:rPr>
            <w:rStyle w:val="Hyperlink"/>
          </w:rPr>
          <w:t>lraeburn-smith@bpf.org.uk</w:t>
        </w:r>
      </w:hyperlink>
      <w:r w:rsidR="009559F3">
        <w:t>, or on 020 7802 0121,</w:t>
      </w:r>
      <w:r w:rsidR="00E754FC">
        <w:t xml:space="preserve"> if you would like to discuss any of the points raised</w:t>
      </w:r>
      <w:r>
        <w:t>.</w:t>
      </w:r>
      <w:r w:rsidR="00622564">
        <w:br/>
      </w:r>
    </w:p>
    <w:p w14:paraId="3902C3B5" w14:textId="32C99CFE" w:rsidR="00FB2293" w:rsidRDefault="00FB2293" w:rsidP="00692106">
      <w:pPr>
        <w:pStyle w:val="Point"/>
        <w:ind w:left="397" w:hanging="397"/>
        <w:rPr>
          <w:b/>
          <w:sz w:val="28"/>
        </w:rPr>
      </w:pPr>
      <w:r>
        <w:rPr>
          <w:b/>
          <w:sz w:val="28"/>
        </w:rPr>
        <w:t xml:space="preserve">What are CVAs? </w:t>
      </w:r>
    </w:p>
    <w:p w14:paraId="68AA31A6" w14:textId="0FC3A286" w:rsidR="00BA7CBC" w:rsidRDefault="00BA7CBC" w:rsidP="00907008">
      <w:pPr>
        <w:pStyle w:val="Point"/>
        <w:numPr>
          <w:ilvl w:val="0"/>
          <w:numId w:val="1"/>
        </w:numPr>
      </w:pPr>
      <w:r>
        <w:t>CVAs are an out-of-court</w:t>
      </w:r>
      <w:r w:rsidR="00FB2293">
        <w:t xml:space="preserve"> </w:t>
      </w:r>
      <w:r w:rsidR="00DA0135">
        <w:t xml:space="preserve">insolvency </w:t>
      </w:r>
      <w:r w:rsidR="00FB2293">
        <w:t xml:space="preserve">procedure through which a </w:t>
      </w:r>
      <w:r w:rsidR="00AE4548">
        <w:t xml:space="preserve">business </w:t>
      </w:r>
      <w:r w:rsidR="00FB2293">
        <w:t>can compromise</w:t>
      </w:r>
      <w:r>
        <w:t xml:space="preserve"> both current and future debts owed to </w:t>
      </w:r>
      <w:r w:rsidR="00B0769A">
        <w:t xml:space="preserve">unsecured </w:t>
      </w:r>
      <w:r>
        <w:t>creditors</w:t>
      </w:r>
      <w:r w:rsidR="0043583C">
        <w:t>, usually for a period of three-years</w:t>
      </w:r>
      <w:r w:rsidR="00FB2293">
        <w:t>.</w:t>
      </w:r>
      <w:r>
        <w:t xml:space="preserve"> In the case of property owners</w:t>
      </w:r>
      <w:r w:rsidR="00B0769A">
        <w:t>,</w:t>
      </w:r>
      <w:r>
        <w:t xml:space="preserve"> the terms of a CVA usually include a reduction in future rent </w:t>
      </w:r>
      <w:r w:rsidR="11C710C4">
        <w:t>obligations but</w:t>
      </w:r>
      <w:r w:rsidR="009122F7">
        <w:t xml:space="preserve"> </w:t>
      </w:r>
      <w:r w:rsidR="00DA0135">
        <w:t>can</w:t>
      </w:r>
      <w:r>
        <w:t xml:space="preserve"> also be used to write down rent in arre</w:t>
      </w:r>
      <w:r w:rsidR="00B0769A">
        <w:t>ars or exit unprofitable stores.</w:t>
      </w:r>
    </w:p>
    <w:p w14:paraId="3A1AD77D" w14:textId="2DCCF17C" w:rsidR="00FB2293" w:rsidRDefault="00B0769A" w:rsidP="00907008">
      <w:pPr>
        <w:pStyle w:val="Point"/>
        <w:numPr>
          <w:ilvl w:val="0"/>
          <w:numId w:val="1"/>
        </w:numPr>
      </w:pPr>
      <w:r>
        <w:t>In order to undertake a CVA</w:t>
      </w:r>
      <w:r w:rsidR="00B8633C">
        <w:t>,</w:t>
      </w:r>
      <w:r>
        <w:t xml:space="preserve"> a firm need not actually be insolvent but it does need to gain the consent</w:t>
      </w:r>
      <w:r w:rsidR="00BA7CBC" w:rsidRPr="0037558F">
        <w:t xml:space="preserve"> of </w:t>
      </w:r>
      <w:r>
        <w:t>a least</w:t>
      </w:r>
      <w:r w:rsidR="00BA7CBC" w:rsidRPr="0037558F">
        <w:t xml:space="preserve"> 75% of unsecured creditors </w:t>
      </w:r>
      <w:r w:rsidR="00BA7CBC">
        <w:t>by value. I</w:t>
      </w:r>
      <w:r w:rsidR="00BA7CBC" w:rsidRPr="0037558F">
        <w:t xml:space="preserve">f approved, the terms of the CVA then bind </w:t>
      </w:r>
      <w:r w:rsidR="00BA7CBC">
        <w:t xml:space="preserve">all </w:t>
      </w:r>
      <w:r w:rsidR="00BA7CBC" w:rsidRPr="0037558F">
        <w:t>creditors</w:t>
      </w:r>
      <w:r w:rsidR="00BA7CBC">
        <w:t xml:space="preserve">, including those </w:t>
      </w:r>
      <w:r w:rsidR="00BA7CBC" w:rsidRPr="0037558F">
        <w:t>dissenting</w:t>
      </w:r>
      <w:r w:rsidR="00BA7CBC">
        <w:t>.</w:t>
      </w:r>
      <w:r w:rsidR="00FB2293">
        <w:t xml:space="preserve"> </w:t>
      </w:r>
    </w:p>
    <w:p w14:paraId="0B2BAD4F" w14:textId="6A8D3AC3" w:rsidR="00BA7CBC" w:rsidRDefault="00BA7CBC" w:rsidP="00907008">
      <w:pPr>
        <w:pStyle w:val="Point"/>
        <w:numPr>
          <w:ilvl w:val="0"/>
          <w:numId w:val="1"/>
        </w:numPr>
      </w:pPr>
      <w:r>
        <w:t>Unlike many other</w:t>
      </w:r>
      <w:r w:rsidR="00DA0135">
        <w:t xml:space="preserve"> forms of</w:t>
      </w:r>
      <w:r>
        <w:t xml:space="preserve"> insolvency, CVAs are often company-led and the existing management remains in place</w:t>
      </w:r>
      <w:r w:rsidR="00DA0135">
        <w:t xml:space="preserve"> and in control of the business</w:t>
      </w:r>
      <w:r>
        <w:t xml:space="preserve">. A </w:t>
      </w:r>
      <w:r w:rsidRPr="00BA7CBC">
        <w:t>CVA must be administered by a l</w:t>
      </w:r>
      <w:r>
        <w:t xml:space="preserve">icenced insolvency practitioner (IP) but the quasi-law underpinning IP practice on how this is determined – </w:t>
      </w:r>
      <w:hyperlink r:id="rId13" w:history="1">
        <w:r w:rsidRPr="00BA7CBC">
          <w:rPr>
            <w:rStyle w:val="Hyperlink"/>
          </w:rPr>
          <w:t>the statement of insolvency practice (SIP) 3.2</w:t>
        </w:r>
      </w:hyperlink>
      <w:r>
        <w:t xml:space="preserve"> – allows </w:t>
      </w:r>
      <w:r w:rsidR="00157F23">
        <w:t xml:space="preserve">for a large degree of flexibility over what this role entails. </w:t>
      </w:r>
    </w:p>
    <w:p w14:paraId="12DA4873" w14:textId="77777777" w:rsidR="002853C1" w:rsidRDefault="00DA0135" w:rsidP="00907008">
      <w:pPr>
        <w:pStyle w:val="Point"/>
        <w:numPr>
          <w:ilvl w:val="0"/>
          <w:numId w:val="1"/>
        </w:numPr>
      </w:pPr>
      <w:r>
        <w:t xml:space="preserve">CVAs have traditionally been used </w:t>
      </w:r>
      <w:r w:rsidR="00A76D8C">
        <w:t>by small</w:t>
      </w:r>
      <w:r>
        <w:t xml:space="preserve"> firms, yet in recent years many of the UK’s largest retail, hospitality and leisure firms have looked to them as a means through which to navigate the structural shift to online and declining footfall. </w:t>
      </w:r>
    </w:p>
    <w:p w14:paraId="47144473" w14:textId="21DB0132" w:rsidR="00DA0135" w:rsidRDefault="002853C1" w:rsidP="00907008">
      <w:pPr>
        <w:pStyle w:val="Point"/>
        <w:numPr>
          <w:ilvl w:val="0"/>
          <w:numId w:val="1"/>
        </w:numPr>
      </w:pPr>
      <w:r>
        <w:t xml:space="preserve">The </w:t>
      </w:r>
      <w:r w:rsidR="00031933">
        <w:t xml:space="preserve">Covid-19 </w:t>
      </w:r>
      <w:r>
        <w:t>crisis continu</w:t>
      </w:r>
      <w:r w:rsidR="004C3DE1">
        <w:t>es</w:t>
      </w:r>
      <w:r>
        <w:t xml:space="preserve"> to cause an unprecedented degree of disruption and financial distress on the high street and will undoubtedly mean many more consider CVAs in the months to come. </w:t>
      </w:r>
    </w:p>
    <w:p w14:paraId="7B989A28" w14:textId="0CE0AB08" w:rsidR="00FB2293" w:rsidRPr="00FB2293" w:rsidRDefault="00FB2293" w:rsidP="00907008">
      <w:pPr>
        <w:pStyle w:val="Point"/>
        <w:numPr>
          <w:ilvl w:val="0"/>
          <w:numId w:val="1"/>
        </w:numPr>
      </w:pPr>
      <w:r>
        <w:t xml:space="preserve">This House of Commons </w:t>
      </w:r>
      <w:hyperlink r:id="rId14" w:history="1">
        <w:r w:rsidRPr="00FB2293">
          <w:rPr>
            <w:rStyle w:val="Hyperlink"/>
          </w:rPr>
          <w:t>briefing</w:t>
        </w:r>
      </w:hyperlink>
      <w:r>
        <w:t xml:space="preserve"> </w:t>
      </w:r>
      <w:r w:rsidR="00157F23">
        <w:t xml:space="preserve">on CVAs </w:t>
      </w:r>
      <w:r>
        <w:t xml:space="preserve">provides for further background. </w:t>
      </w:r>
      <w:r w:rsidR="00B0769A">
        <w:br/>
      </w:r>
    </w:p>
    <w:p w14:paraId="63D6A55D" w14:textId="77777777" w:rsidR="00A71E3B" w:rsidRPr="006D10F5" w:rsidRDefault="00A71E3B" w:rsidP="1161C6B1">
      <w:pPr>
        <w:rPr>
          <w:b/>
          <w:bCs/>
          <w:sz w:val="28"/>
          <w:szCs w:val="28"/>
        </w:rPr>
      </w:pPr>
      <w:r w:rsidRPr="1161C6B1">
        <w:rPr>
          <w:b/>
          <w:bCs/>
          <w:sz w:val="28"/>
          <w:szCs w:val="28"/>
        </w:rPr>
        <w:lastRenderedPageBreak/>
        <w:t xml:space="preserve">How abuse of the CVA process is impacting high streets, pensions and investor sentiment </w:t>
      </w:r>
    </w:p>
    <w:p w14:paraId="4D5EC409" w14:textId="6C171762" w:rsidR="009B5603" w:rsidRDefault="00C7470D" w:rsidP="1161C6B1">
      <w:pPr>
        <w:pStyle w:val="Point"/>
        <w:numPr>
          <w:ilvl w:val="0"/>
          <w:numId w:val="1"/>
        </w:numPr>
        <w:rPr>
          <w:rFonts w:asciiTheme="minorHAnsi" w:eastAsiaTheme="minorEastAsia" w:hAnsiTheme="minorHAnsi" w:cstheme="minorBidi"/>
          <w:b/>
          <w:szCs w:val="22"/>
        </w:rPr>
      </w:pPr>
      <w:r w:rsidRPr="1161C6B1">
        <w:rPr>
          <w:rFonts w:eastAsia="Times New Roman"/>
        </w:rPr>
        <w:t xml:space="preserve">The BPF </w:t>
      </w:r>
      <w:r w:rsidR="00B61F09" w:rsidRPr="1161C6B1">
        <w:rPr>
          <w:rFonts w:eastAsia="Times New Roman"/>
        </w:rPr>
        <w:t>supports a business rescue culture</w:t>
      </w:r>
      <w:r w:rsidR="00091C99" w:rsidRPr="1161C6B1">
        <w:rPr>
          <w:rFonts w:eastAsia="Times New Roman"/>
        </w:rPr>
        <w:t xml:space="preserve"> and we recognise that </w:t>
      </w:r>
      <w:r w:rsidR="00683811" w:rsidRPr="1161C6B1">
        <w:rPr>
          <w:rFonts w:eastAsia="Times New Roman"/>
        </w:rPr>
        <w:t>CVAs can be a useful tool for restructuring when used correctly</w:t>
      </w:r>
      <w:r w:rsidR="00091C99" w:rsidRPr="1161C6B1">
        <w:rPr>
          <w:rFonts w:eastAsia="Times New Roman"/>
        </w:rPr>
        <w:t>. H</w:t>
      </w:r>
      <w:r w:rsidR="00683811" w:rsidRPr="1161C6B1">
        <w:rPr>
          <w:rFonts w:eastAsia="Times New Roman"/>
        </w:rPr>
        <w:t xml:space="preserve">owever, </w:t>
      </w:r>
      <w:r w:rsidR="000E63E1" w:rsidRPr="1161C6B1">
        <w:rPr>
          <w:rFonts w:eastAsia="Times New Roman"/>
        </w:rPr>
        <w:t xml:space="preserve">we </w:t>
      </w:r>
      <w:r w:rsidR="007A66E5" w:rsidRPr="1161C6B1">
        <w:rPr>
          <w:rFonts w:eastAsia="Times New Roman"/>
        </w:rPr>
        <w:t>are strongly against CVAs being used</w:t>
      </w:r>
      <w:r w:rsidR="00550ADE" w:rsidRPr="1161C6B1">
        <w:rPr>
          <w:rFonts w:eastAsia="Times New Roman"/>
        </w:rPr>
        <w:t xml:space="preserve"> </w:t>
      </w:r>
      <w:r w:rsidR="00443F59" w:rsidRPr="1161C6B1">
        <w:rPr>
          <w:rFonts w:eastAsia="Times New Roman"/>
        </w:rPr>
        <w:t xml:space="preserve">to </w:t>
      </w:r>
      <w:r w:rsidR="00210DBC" w:rsidRPr="1161C6B1">
        <w:rPr>
          <w:rFonts w:eastAsia="Times New Roman"/>
        </w:rPr>
        <w:t>opportunistically</w:t>
      </w:r>
      <w:r w:rsidR="00550ADE" w:rsidRPr="1161C6B1">
        <w:rPr>
          <w:rFonts w:eastAsia="Times New Roman"/>
        </w:rPr>
        <w:t xml:space="preserve"> </w:t>
      </w:r>
      <w:r w:rsidR="00683811" w:rsidRPr="1161C6B1">
        <w:rPr>
          <w:rFonts w:eastAsia="Times New Roman"/>
        </w:rPr>
        <w:t xml:space="preserve">transfer losses onto </w:t>
      </w:r>
      <w:r w:rsidR="00A76D8C" w:rsidRPr="1161C6B1">
        <w:rPr>
          <w:rFonts w:eastAsia="Times New Roman"/>
        </w:rPr>
        <w:t xml:space="preserve">certain classes of </w:t>
      </w:r>
      <w:r w:rsidR="00683811" w:rsidRPr="1161C6B1">
        <w:rPr>
          <w:rFonts w:eastAsia="Times New Roman"/>
        </w:rPr>
        <w:t>creditors</w:t>
      </w:r>
      <w:r w:rsidR="00550ADE" w:rsidRPr="1161C6B1">
        <w:rPr>
          <w:rFonts w:eastAsia="Times New Roman"/>
        </w:rPr>
        <w:t>.</w:t>
      </w:r>
      <w:r w:rsidR="00683811" w:rsidRPr="1161C6B1">
        <w:rPr>
          <w:rFonts w:eastAsia="Times New Roman"/>
        </w:rPr>
        <w:t xml:space="preserve"> </w:t>
      </w:r>
    </w:p>
    <w:p w14:paraId="58D0E2DF" w14:textId="70C55C9A" w:rsidR="00683811" w:rsidRDefault="00683811" w:rsidP="00E31702">
      <w:pPr>
        <w:pStyle w:val="Point"/>
        <w:numPr>
          <w:ilvl w:val="0"/>
          <w:numId w:val="1"/>
        </w:numPr>
        <w:rPr>
          <w:rFonts w:eastAsia="Times New Roman"/>
        </w:rPr>
      </w:pPr>
      <w:r w:rsidRPr="1161C6B1">
        <w:rPr>
          <w:rFonts w:eastAsia="Times New Roman"/>
        </w:rPr>
        <w:t>This is especially the case for ‘Landlord CVAs’, where property owners are the only compromised class of creditors but other, largely unaffected creditors approve the CVA.</w:t>
      </w:r>
      <w:r w:rsidR="009B5603" w:rsidRPr="1161C6B1">
        <w:rPr>
          <w:rFonts w:eastAsia="Times New Roman"/>
        </w:rPr>
        <w:t xml:space="preserve"> </w:t>
      </w:r>
      <w:r w:rsidR="009B5603">
        <w:t xml:space="preserve">This is made worse by businesses that are nowhere near insolvency or have very wealthy shareholders using </w:t>
      </w:r>
      <w:r w:rsidR="00AA41B1">
        <w:t xml:space="preserve">(or abusing) </w:t>
      </w:r>
      <w:r w:rsidR="009B5603">
        <w:t>CVAs to opportunistically reduce their costs and shed stores they no longer want.</w:t>
      </w:r>
    </w:p>
    <w:p w14:paraId="1068F326" w14:textId="1D4EBC5A" w:rsidR="00626341" w:rsidRPr="00626341" w:rsidRDefault="00DE1C49" w:rsidP="00E31702">
      <w:pPr>
        <w:pStyle w:val="Point"/>
        <w:numPr>
          <w:ilvl w:val="0"/>
          <w:numId w:val="1"/>
        </w:numPr>
        <w:rPr>
          <w:rFonts w:eastAsia="Times New Roman"/>
        </w:rPr>
      </w:pPr>
      <w:r w:rsidRPr="1161C6B1">
        <w:rPr>
          <w:rFonts w:eastAsia="Times New Roman"/>
        </w:rPr>
        <w:t xml:space="preserve">The </w:t>
      </w:r>
      <w:r w:rsidR="00AA41B1" w:rsidRPr="1161C6B1">
        <w:rPr>
          <w:rFonts w:eastAsia="Times New Roman"/>
        </w:rPr>
        <w:t>ab</w:t>
      </w:r>
      <w:r w:rsidR="00347B11" w:rsidRPr="1161C6B1">
        <w:rPr>
          <w:rFonts w:eastAsia="Times New Roman"/>
        </w:rPr>
        <w:t xml:space="preserve">use of CVAs is having </w:t>
      </w:r>
      <w:r w:rsidR="00661E86" w:rsidRPr="1161C6B1">
        <w:rPr>
          <w:rFonts w:eastAsia="Times New Roman"/>
        </w:rPr>
        <w:t xml:space="preserve">many negative impacts on </w:t>
      </w:r>
      <w:r w:rsidR="00530F40" w:rsidRPr="1161C6B1">
        <w:rPr>
          <w:rFonts w:eastAsia="Times New Roman"/>
        </w:rPr>
        <w:t xml:space="preserve">pensions, </w:t>
      </w:r>
      <w:r w:rsidR="00661E86" w:rsidRPr="1161C6B1">
        <w:rPr>
          <w:rFonts w:eastAsia="Times New Roman"/>
        </w:rPr>
        <w:t>high streets, and investor sentiment:</w:t>
      </w:r>
    </w:p>
    <w:p w14:paraId="155859D2" w14:textId="6268C341" w:rsidR="002802C2" w:rsidRPr="005F2B52" w:rsidRDefault="008B1439" w:rsidP="00661E86">
      <w:pPr>
        <w:pStyle w:val="Point"/>
        <w:numPr>
          <w:ilvl w:val="1"/>
          <w:numId w:val="1"/>
        </w:numPr>
        <w:rPr>
          <w:rFonts w:eastAsia="Times New Roman"/>
        </w:rPr>
      </w:pPr>
      <w:r w:rsidRPr="1161C6B1">
        <w:rPr>
          <w:rFonts w:eastAsia="Times New Roman"/>
          <w:b/>
        </w:rPr>
        <w:t>They transfer value from UK pensioners and savers</w:t>
      </w:r>
      <w:r w:rsidR="004D60EF" w:rsidRPr="1161C6B1">
        <w:rPr>
          <w:rFonts w:eastAsia="Times New Roman"/>
          <w:b/>
        </w:rPr>
        <w:t xml:space="preserve"> to shareholders who are often based overseas</w:t>
      </w:r>
      <w:r w:rsidR="004D017B" w:rsidRPr="1161C6B1">
        <w:rPr>
          <w:rFonts w:eastAsia="Times New Roman"/>
        </w:rPr>
        <w:t xml:space="preserve">. </w:t>
      </w:r>
      <w:r w:rsidR="004D60EF" w:rsidRPr="1161C6B1">
        <w:rPr>
          <w:rFonts w:eastAsia="Times New Roman"/>
        </w:rPr>
        <w:t>A</w:t>
      </w:r>
      <w:r w:rsidR="006B6120">
        <w:t xml:space="preserve">s much as 70% of the of the c. 1.5bn </w:t>
      </w:r>
      <w:proofErr w:type="spellStart"/>
      <w:r w:rsidR="006B6120">
        <w:t>sq</w:t>
      </w:r>
      <w:proofErr w:type="spellEnd"/>
      <w:r w:rsidR="006B6120">
        <w:t xml:space="preserve"> ft of retail and food and beverage space in the UK is owned </w:t>
      </w:r>
      <w:r w:rsidR="003B7373" w:rsidRPr="1161C6B1">
        <w:rPr>
          <w:rFonts w:eastAsia="Times New Roman"/>
        </w:rPr>
        <w:t xml:space="preserve">by the general </w:t>
      </w:r>
      <w:r w:rsidR="003B7373">
        <w:t>public, through charities, local authorities and institutional investors such as pension funds and insurance companies</w:t>
      </w:r>
      <w:r w:rsidR="006B6120">
        <w:t>. Of the UK’s top 22 High Streets, some 60% is owned by the public.</w:t>
      </w:r>
      <w:r w:rsidR="003B7373">
        <w:t xml:space="preserve"> It is the public that ultimately bears the cost of </w:t>
      </w:r>
      <w:r w:rsidR="00530F40">
        <w:t>CVA abuse</w:t>
      </w:r>
      <w:r w:rsidR="004F2575">
        <w:t xml:space="preserve"> and the public’s cash that ends up being transferred to </w:t>
      </w:r>
      <w:r w:rsidR="00275E25">
        <w:t>the owners of CVA businesses.</w:t>
      </w:r>
    </w:p>
    <w:p w14:paraId="666D2151" w14:textId="73DE9743" w:rsidR="005F2B52" w:rsidRDefault="005F2B52" w:rsidP="00661E86">
      <w:pPr>
        <w:pStyle w:val="Point"/>
        <w:numPr>
          <w:ilvl w:val="1"/>
          <w:numId w:val="1"/>
        </w:numPr>
        <w:rPr>
          <w:rFonts w:eastAsia="Times New Roman"/>
        </w:rPr>
      </w:pPr>
      <w:r w:rsidRPr="1161C6B1">
        <w:rPr>
          <w:rFonts w:eastAsia="Times New Roman"/>
          <w:b/>
        </w:rPr>
        <w:t xml:space="preserve">They make it </w:t>
      </w:r>
      <w:r w:rsidR="00EE4574" w:rsidRPr="1161C6B1">
        <w:rPr>
          <w:rFonts w:eastAsia="Times New Roman"/>
          <w:b/>
        </w:rPr>
        <w:t xml:space="preserve">riskier to invest in town centres. </w:t>
      </w:r>
      <w:r w:rsidR="00EE4574" w:rsidRPr="1161C6B1">
        <w:rPr>
          <w:rFonts w:eastAsia="Times New Roman"/>
        </w:rPr>
        <w:t xml:space="preserve">Our town centres </w:t>
      </w:r>
      <w:r w:rsidR="00DE0ACA" w:rsidRPr="1161C6B1">
        <w:rPr>
          <w:rFonts w:eastAsia="Times New Roman"/>
        </w:rPr>
        <w:t>quickly</w:t>
      </w:r>
      <w:r w:rsidR="00EE4574" w:rsidRPr="1161C6B1">
        <w:rPr>
          <w:rFonts w:eastAsia="Times New Roman"/>
        </w:rPr>
        <w:t xml:space="preserve"> need to adapt </w:t>
      </w:r>
      <w:r w:rsidR="00DE0ACA" w:rsidRPr="1161C6B1">
        <w:rPr>
          <w:rFonts w:eastAsia="Times New Roman"/>
        </w:rPr>
        <w:t>to changing social and economic forces, but CVAs make it much harder to underwrite</w:t>
      </w:r>
      <w:r w:rsidR="00C227CB" w:rsidRPr="1161C6B1">
        <w:rPr>
          <w:rFonts w:eastAsia="Times New Roman"/>
        </w:rPr>
        <w:t xml:space="preserve"> </w:t>
      </w:r>
      <w:r w:rsidR="00774BF2" w:rsidRPr="1161C6B1">
        <w:rPr>
          <w:rFonts w:eastAsia="Times New Roman"/>
        </w:rPr>
        <w:t xml:space="preserve">the </w:t>
      </w:r>
      <w:r w:rsidR="00C227CB" w:rsidRPr="1161C6B1">
        <w:rPr>
          <w:rFonts w:eastAsia="Times New Roman"/>
        </w:rPr>
        <w:t xml:space="preserve">investment </w:t>
      </w:r>
      <w:r w:rsidR="00774BF2" w:rsidRPr="1161C6B1">
        <w:rPr>
          <w:rFonts w:eastAsia="Times New Roman"/>
        </w:rPr>
        <w:t xml:space="preserve">that would facilitate this, </w:t>
      </w:r>
      <w:r w:rsidR="00C227CB" w:rsidRPr="1161C6B1">
        <w:rPr>
          <w:rFonts w:eastAsia="Times New Roman"/>
        </w:rPr>
        <w:t xml:space="preserve">as it becomes impossible to </w:t>
      </w:r>
      <w:r w:rsidR="00774BF2" w:rsidRPr="1161C6B1">
        <w:rPr>
          <w:rFonts w:eastAsia="Times New Roman"/>
        </w:rPr>
        <w:t>have any certainty over future rental income.</w:t>
      </w:r>
    </w:p>
    <w:p w14:paraId="3D5DEE16" w14:textId="607205E7" w:rsidR="00160697" w:rsidRPr="00F8193B" w:rsidRDefault="00160697" w:rsidP="00661E86">
      <w:pPr>
        <w:pStyle w:val="Point"/>
        <w:numPr>
          <w:ilvl w:val="1"/>
          <w:numId w:val="1"/>
        </w:numPr>
        <w:rPr>
          <w:rFonts w:eastAsia="Times New Roman"/>
        </w:rPr>
      </w:pPr>
      <w:r w:rsidRPr="1161C6B1">
        <w:rPr>
          <w:rFonts w:eastAsia="Times New Roman"/>
          <w:b/>
        </w:rPr>
        <w:t xml:space="preserve">They </w:t>
      </w:r>
      <w:r w:rsidR="001E0DAB" w:rsidRPr="1161C6B1">
        <w:rPr>
          <w:rFonts w:eastAsia="Times New Roman"/>
          <w:b/>
        </w:rPr>
        <w:t>undermine</w:t>
      </w:r>
      <w:r w:rsidRPr="1161C6B1">
        <w:rPr>
          <w:rFonts w:eastAsia="Times New Roman"/>
          <w:b/>
        </w:rPr>
        <w:t xml:space="preserve"> property rights, hurting the UK’s </w:t>
      </w:r>
      <w:r w:rsidR="00A41852" w:rsidRPr="1161C6B1">
        <w:rPr>
          <w:rFonts w:eastAsia="Times New Roman"/>
          <w:b/>
        </w:rPr>
        <w:t>reputation</w:t>
      </w:r>
      <w:r w:rsidR="00A41852" w:rsidRPr="1161C6B1">
        <w:rPr>
          <w:rFonts w:eastAsia="Times New Roman"/>
        </w:rPr>
        <w:t xml:space="preserve">. </w:t>
      </w:r>
      <w:r w:rsidR="00C95B65" w:rsidRPr="1161C6B1">
        <w:rPr>
          <w:rFonts w:eastAsia="Times New Roman"/>
        </w:rPr>
        <w:t xml:space="preserve">The UK has long benefited from a reputation among international investors for </w:t>
      </w:r>
      <w:r w:rsidR="0042680E" w:rsidRPr="1161C6B1">
        <w:rPr>
          <w:rFonts w:eastAsia="Times New Roman"/>
        </w:rPr>
        <w:t>having strong, well-defined property rights</w:t>
      </w:r>
      <w:r w:rsidR="00D37F8A" w:rsidRPr="1161C6B1">
        <w:rPr>
          <w:rFonts w:eastAsia="Times New Roman"/>
        </w:rPr>
        <w:t xml:space="preserve"> and a strong rule of law.</w:t>
      </w:r>
      <w:r w:rsidR="00CD027D" w:rsidRPr="1161C6B1">
        <w:rPr>
          <w:rFonts w:eastAsia="Times New Roman"/>
        </w:rPr>
        <w:t xml:space="preserve"> CVAs are seriously undermining these as they effectively allow leases to be rewritten in an occupier’s favour</w:t>
      </w:r>
      <w:r w:rsidR="000204CB" w:rsidRPr="1161C6B1">
        <w:rPr>
          <w:rFonts w:eastAsia="Times New Roman"/>
        </w:rPr>
        <w:t xml:space="preserve">. </w:t>
      </w:r>
      <w:r w:rsidR="004270A5">
        <w:t>Without these international investors in property, it becomes much more difficult to nurture the built environment needed for vibrant town centres.</w:t>
      </w:r>
    </w:p>
    <w:p w14:paraId="63D3C784" w14:textId="7D04EF10" w:rsidR="00F8193B" w:rsidRDefault="00F8193B" w:rsidP="00661E86">
      <w:pPr>
        <w:pStyle w:val="Point"/>
        <w:numPr>
          <w:ilvl w:val="1"/>
          <w:numId w:val="1"/>
        </w:numPr>
        <w:rPr>
          <w:rFonts w:eastAsia="Times New Roman"/>
        </w:rPr>
      </w:pPr>
      <w:r w:rsidRPr="1161C6B1">
        <w:rPr>
          <w:rFonts w:eastAsia="Times New Roman"/>
          <w:b/>
        </w:rPr>
        <w:t xml:space="preserve">They </w:t>
      </w:r>
      <w:r w:rsidR="00514FE5" w:rsidRPr="1161C6B1">
        <w:rPr>
          <w:rFonts w:eastAsia="Times New Roman"/>
          <w:b/>
        </w:rPr>
        <w:t xml:space="preserve">distort competition and favour </w:t>
      </w:r>
      <w:r w:rsidR="00D602E1" w:rsidRPr="1161C6B1">
        <w:rPr>
          <w:rFonts w:eastAsia="Times New Roman"/>
          <w:b/>
        </w:rPr>
        <w:t>poorly run</w:t>
      </w:r>
      <w:r w:rsidR="00514FE5" w:rsidRPr="1161C6B1">
        <w:rPr>
          <w:rFonts w:eastAsia="Times New Roman"/>
          <w:b/>
        </w:rPr>
        <w:t xml:space="preserve"> businesses. </w:t>
      </w:r>
      <w:r w:rsidR="00030413" w:rsidRPr="1161C6B1">
        <w:rPr>
          <w:rFonts w:eastAsia="Times New Roman"/>
        </w:rPr>
        <w:t xml:space="preserve">Because CVAs are easy to implement, </w:t>
      </w:r>
      <w:r w:rsidR="00D602E1" w:rsidRPr="1161C6B1">
        <w:rPr>
          <w:rFonts w:eastAsia="Times New Roman"/>
        </w:rPr>
        <w:t>they are</w:t>
      </w:r>
      <w:r w:rsidR="00030413" w:rsidRPr="1161C6B1">
        <w:rPr>
          <w:rFonts w:eastAsia="Times New Roman"/>
        </w:rPr>
        <w:t xml:space="preserve"> often use</w:t>
      </w:r>
      <w:r w:rsidR="00D602E1" w:rsidRPr="1161C6B1">
        <w:rPr>
          <w:rFonts w:eastAsia="Times New Roman"/>
        </w:rPr>
        <w:t>d</w:t>
      </w:r>
      <w:r w:rsidR="00030413" w:rsidRPr="1161C6B1">
        <w:rPr>
          <w:rFonts w:eastAsia="Times New Roman"/>
        </w:rPr>
        <w:t xml:space="preserve"> as an alternative to genuine shareholder investment</w:t>
      </w:r>
      <w:r w:rsidR="000779C0" w:rsidRPr="1161C6B1">
        <w:rPr>
          <w:rFonts w:eastAsia="Times New Roman"/>
        </w:rPr>
        <w:t xml:space="preserve"> and </w:t>
      </w:r>
      <w:r w:rsidR="00D602E1" w:rsidRPr="1161C6B1">
        <w:rPr>
          <w:rFonts w:eastAsia="Times New Roman"/>
        </w:rPr>
        <w:t xml:space="preserve">proper </w:t>
      </w:r>
      <w:r w:rsidR="000779C0" w:rsidRPr="1161C6B1">
        <w:rPr>
          <w:rFonts w:eastAsia="Times New Roman"/>
        </w:rPr>
        <w:t xml:space="preserve">structural turnaround. </w:t>
      </w:r>
      <w:r w:rsidR="00A701FD" w:rsidRPr="1161C6B1">
        <w:rPr>
          <w:rFonts w:eastAsia="Times New Roman"/>
        </w:rPr>
        <w:t xml:space="preserve">However, the lower running costs that a CVA allows </w:t>
      </w:r>
      <w:r w:rsidR="00897765" w:rsidRPr="1161C6B1">
        <w:rPr>
          <w:rFonts w:eastAsia="Times New Roman"/>
        </w:rPr>
        <w:t xml:space="preserve">gives those businesses an unfair advantage against their </w:t>
      </w:r>
      <w:r w:rsidR="00911C78" w:rsidRPr="1161C6B1">
        <w:rPr>
          <w:rFonts w:eastAsia="Times New Roman"/>
        </w:rPr>
        <w:t xml:space="preserve">better </w:t>
      </w:r>
      <w:r w:rsidR="00897765" w:rsidRPr="1161C6B1">
        <w:rPr>
          <w:rFonts w:eastAsia="Times New Roman"/>
        </w:rPr>
        <w:t>run or less opportunistic competitors – those who play by the rules.</w:t>
      </w:r>
    </w:p>
    <w:p w14:paraId="6C37DC40" w14:textId="18534A94" w:rsidR="006D10F5" w:rsidRPr="006D10F5" w:rsidRDefault="006D10F5" w:rsidP="1161C6B1">
      <w:pPr>
        <w:rPr>
          <w:b/>
          <w:bCs/>
          <w:sz w:val="28"/>
          <w:szCs w:val="28"/>
        </w:rPr>
      </w:pPr>
      <w:r w:rsidRPr="1161C6B1">
        <w:rPr>
          <w:b/>
          <w:bCs/>
          <w:sz w:val="28"/>
          <w:szCs w:val="28"/>
        </w:rPr>
        <w:t>What’s wrong with CVAs?</w:t>
      </w:r>
    </w:p>
    <w:p w14:paraId="4D67FE72" w14:textId="77777777" w:rsidR="00AF2001" w:rsidRDefault="00683811" w:rsidP="00B8633C">
      <w:pPr>
        <w:pStyle w:val="Point"/>
        <w:numPr>
          <w:ilvl w:val="0"/>
          <w:numId w:val="1"/>
        </w:numPr>
        <w:rPr>
          <w:rFonts w:eastAsia="Times New Roman"/>
        </w:rPr>
      </w:pPr>
      <w:r w:rsidRPr="1161C6B1">
        <w:rPr>
          <w:rFonts w:eastAsia="Times New Roman"/>
        </w:rPr>
        <w:t xml:space="preserve">Broadly, our concerns with CVAs fall under the following headings: </w:t>
      </w:r>
    </w:p>
    <w:p w14:paraId="4260C073" w14:textId="77777777" w:rsidR="006D10F5" w:rsidRPr="00750ADE" w:rsidRDefault="00A018FF" w:rsidP="006D10F5">
      <w:pPr>
        <w:pStyle w:val="Point"/>
        <w:numPr>
          <w:ilvl w:val="1"/>
          <w:numId w:val="1"/>
        </w:numPr>
        <w:rPr>
          <w:rFonts w:eastAsia="Times New Roman"/>
        </w:rPr>
      </w:pPr>
      <w:hyperlink w:anchor="Targetingofcreditorclassesandmanipu" w:history="1">
        <w:r w:rsidR="006D10F5" w:rsidRPr="1161C6B1">
          <w:rPr>
            <w:rStyle w:val="Hyperlink"/>
            <w:b/>
          </w:rPr>
          <w:t xml:space="preserve">Targeting of creditor classes and </w:t>
        </w:r>
        <w:r w:rsidR="006D10F5" w:rsidRPr="1161C6B1">
          <w:rPr>
            <w:rStyle w:val="Hyperlink"/>
            <w:rFonts w:eastAsia="Times New Roman"/>
            <w:b/>
          </w:rPr>
          <w:t>manipulation of the vote</w:t>
        </w:r>
      </w:hyperlink>
      <w:r w:rsidR="006D10F5" w:rsidRPr="1161C6B1">
        <w:rPr>
          <w:rStyle w:val="Hyperlink"/>
          <w:rFonts w:eastAsia="Times New Roman"/>
          <w:u w:val="none"/>
        </w:rPr>
        <w:t xml:space="preserve"> </w:t>
      </w:r>
      <w:r w:rsidR="006D10F5">
        <w:t xml:space="preserve">- the voting procedure is being manipulated in order to target particular classes of creditors. CVAs are often centred on making compromises on debts owed to property owners, yet their voting rights are heavily and arbitrarily discounted by the IPs in the firm’s employment, often only to ensure the vote passes. This voting discount is decided by the IP themselves in each case which is a clear conflict of interest. This materially affects not just the chances of approval but also the </w:t>
      </w:r>
      <w:r w:rsidR="006D10F5">
        <w:lastRenderedPageBreak/>
        <w:t xml:space="preserve">contents of CVAs themselves, as those creditors whose vote is discounted can be more severely compromised without the chance of voting reprisal. </w:t>
      </w:r>
    </w:p>
    <w:p w14:paraId="366FC83E" w14:textId="77777777" w:rsidR="00314441" w:rsidRPr="007714AA" w:rsidRDefault="00A018FF" w:rsidP="00314441">
      <w:pPr>
        <w:pStyle w:val="Point"/>
        <w:numPr>
          <w:ilvl w:val="1"/>
          <w:numId w:val="1"/>
        </w:numPr>
        <w:rPr>
          <w:rFonts w:eastAsia="Times New Roman"/>
        </w:rPr>
      </w:pPr>
      <w:hyperlink w:anchor="Lackofoversightandlegislativeclarit" w:history="1">
        <w:r w:rsidR="00314441" w:rsidRPr="1161C6B1">
          <w:rPr>
            <w:rStyle w:val="Hyperlink"/>
            <w:b/>
          </w:rPr>
          <w:t>Lack of oversight and legislative clarity</w:t>
        </w:r>
      </w:hyperlink>
      <w:r w:rsidR="00314441" w:rsidRPr="1161C6B1">
        <w:rPr>
          <w:b/>
        </w:rPr>
        <w:t xml:space="preserve"> </w:t>
      </w:r>
      <w:r w:rsidR="00314441">
        <w:t xml:space="preserve">– the legislative underpinnings for CVAs are lacking and this is the reason abuse of the CVA process is possible in the first place. There is also no means of recourse for creditors who feel they have been unjustly treated by a CVA other than to challenge them in the courts. This lack of clarity threatens the business’ recovery, is costly for those seeking clarity and is undesirable for all parties. </w:t>
      </w:r>
    </w:p>
    <w:p w14:paraId="09D9344F" w14:textId="72C12F4D" w:rsidR="00683811" w:rsidRPr="00B041BF" w:rsidRDefault="00A018FF" w:rsidP="00B8633C">
      <w:pPr>
        <w:pStyle w:val="Point"/>
        <w:numPr>
          <w:ilvl w:val="1"/>
          <w:numId w:val="1"/>
        </w:numPr>
        <w:rPr>
          <w:rFonts w:eastAsia="Times New Roman"/>
        </w:rPr>
      </w:pPr>
      <w:hyperlink w:anchor="effectiverestructure" w:history="1">
        <w:r w:rsidR="00683811" w:rsidRPr="1161C6B1">
          <w:rPr>
            <w:rStyle w:val="Hyperlink"/>
            <w:b/>
          </w:rPr>
          <w:t>Lack of effective restructure</w:t>
        </w:r>
      </w:hyperlink>
      <w:r w:rsidR="00683811">
        <w:t xml:space="preserve"> – proposals often do not include an adequate turnaround plan or detail even whether refinancing options have been considered. They simply compromise a company’s contractual obligations to creditors in an effort to solely cut costs and defer investment decisions. </w:t>
      </w:r>
    </w:p>
    <w:p w14:paraId="565CB5AF" w14:textId="7A269003" w:rsidR="00683811" w:rsidRPr="00B041BF" w:rsidRDefault="00A018FF" w:rsidP="1161C6B1">
      <w:pPr>
        <w:pStyle w:val="Point"/>
        <w:numPr>
          <w:ilvl w:val="1"/>
          <w:numId w:val="1"/>
        </w:numPr>
        <w:rPr>
          <w:rFonts w:asciiTheme="minorHAnsi" w:eastAsiaTheme="minorEastAsia" w:hAnsiTheme="minorHAnsi" w:cstheme="minorBidi"/>
          <w:bCs w:val="0"/>
          <w:szCs w:val="22"/>
        </w:rPr>
      </w:pPr>
      <w:hyperlink w:anchor="Lackoftransparency" w:history="1">
        <w:r w:rsidR="00683811" w:rsidRPr="1161C6B1">
          <w:rPr>
            <w:rStyle w:val="Hyperlink"/>
            <w:rFonts w:eastAsia="Times New Roman"/>
            <w:b/>
          </w:rPr>
          <w:t>Lack of transparency</w:t>
        </w:r>
      </w:hyperlink>
      <w:r w:rsidR="00683811" w:rsidRPr="1161C6B1">
        <w:rPr>
          <w:rStyle w:val="Hyperlink"/>
          <w:rFonts w:eastAsia="Times New Roman"/>
          <w:u w:val="none"/>
        </w:rPr>
        <w:t xml:space="preserve"> </w:t>
      </w:r>
      <w:r w:rsidR="00683811">
        <w:t xml:space="preserve">– unsecured creditors have few rights to information in CVAs and </w:t>
      </w:r>
      <w:r w:rsidR="00636E2C">
        <w:t xml:space="preserve">are </w:t>
      </w:r>
      <w:r w:rsidR="00683811">
        <w:t xml:space="preserve">frequently given insufficient time to consider proposals. It is in many cases unclear whether the issuing firm is truly even </w:t>
      </w:r>
      <w:r w:rsidR="001A164F">
        <w:t>in financial difficulty</w:t>
      </w:r>
      <w:r w:rsidR="00B8633C">
        <w:t xml:space="preserve"> and creditors </w:t>
      </w:r>
      <w:r w:rsidR="00A76D8C">
        <w:t xml:space="preserve">frequently </w:t>
      </w:r>
      <w:r w:rsidR="00B8633C">
        <w:t xml:space="preserve">have not even been able to read the CVA document in full by the time they </w:t>
      </w:r>
      <w:r w:rsidR="00A76D8C">
        <w:t>are asked</w:t>
      </w:r>
      <w:r w:rsidR="00B8633C">
        <w:t xml:space="preserve"> to vote on it</w:t>
      </w:r>
      <w:r w:rsidR="00683811" w:rsidRPr="00B041BF">
        <w:t xml:space="preserve">. </w:t>
      </w:r>
    </w:p>
    <w:p w14:paraId="6DE102D0" w14:textId="0C2A22E1" w:rsidR="00750ADE" w:rsidRPr="00750ADE" w:rsidRDefault="00A018FF" w:rsidP="00B8633C">
      <w:pPr>
        <w:pStyle w:val="Point"/>
        <w:numPr>
          <w:ilvl w:val="1"/>
          <w:numId w:val="1"/>
        </w:numPr>
        <w:rPr>
          <w:rFonts w:eastAsia="Times New Roman"/>
        </w:rPr>
      </w:pPr>
      <w:hyperlink w:anchor="Underminingconsensualnegotiationsand" w:history="1">
        <w:r w:rsidR="00750ADE" w:rsidRPr="1161C6B1">
          <w:rPr>
            <w:rStyle w:val="Hyperlink"/>
            <w:b/>
          </w:rPr>
          <w:t>Undermining consensual negotiations</w:t>
        </w:r>
        <w:r w:rsidR="000A7A49" w:rsidRPr="1161C6B1">
          <w:rPr>
            <w:rStyle w:val="Hyperlink"/>
            <w:b/>
          </w:rPr>
          <w:t xml:space="preserve"> and partnerships</w:t>
        </w:r>
        <w:r w:rsidR="00750ADE">
          <w:t xml:space="preserve"> </w:t>
        </w:r>
        <w:r w:rsidR="000A7A49">
          <w:t>–</w:t>
        </w:r>
        <w:r w:rsidR="00750ADE">
          <w:t xml:space="preserve"> </w:t>
        </w:r>
        <w:r w:rsidR="00A76D8C">
          <w:t>the prevalence of opportunistic</w:t>
        </w:r>
        <w:r w:rsidR="00B8633C">
          <w:t xml:space="preserve"> CVAs mean </w:t>
        </w:r>
        <w:r w:rsidR="000A7A49">
          <w:t xml:space="preserve">property owners are less willing to come to consensual agreements </w:t>
        </w:r>
        <w:r w:rsidR="00907008">
          <w:t xml:space="preserve">with existing tenants, </w:t>
        </w:r>
        <w:r w:rsidR="000A7A49">
          <w:t xml:space="preserve">as they know that </w:t>
        </w:r>
        <w:r w:rsidR="00A76D8C">
          <w:t xml:space="preserve">such a </w:t>
        </w:r>
        <w:r w:rsidR="00907008">
          <w:t>CVA may compound these compromises further</w:t>
        </w:r>
        <w:r w:rsidR="00A76D8C">
          <w:t xml:space="preserve"> later on</w:t>
        </w:r>
        <w:r w:rsidR="00907008">
          <w:t xml:space="preserve">. </w:t>
        </w:r>
        <w:r w:rsidR="00B8633C">
          <w:t xml:space="preserve">The fact that CVAs can be abused also sours tenant-property owner relationships with suspicion, and creates an incentive for retailers to seek </w:t>
        </w:r>
        <w:r w:rsidR="00A76D8C">
          <w:t>short-term</w:t>
        </w:r>
        <w:r w:rsidR="00B8633C">
          <w:t xml:space="preserve"> gain through a CVA at the cost of long-term partnerships.  </w:t>
        </w:r>
      </w:hyperlink>
    </w:p>
    <w:p w14:paraId="16278808" w14:textId="36FC2A5C" w:rsidR="007714AA" w:rsidRPr="00683811" w:rsidRDefault="007714AA" w:rsidP="1161C6B1">
      <w:pPr>
        <w:pStyle w:val="Point"/>
        <w:numPr>
          <w:ilvl w:val="0"/>
          <w:numId w:val="1"/>
        </w:numPr>
        <w:rPr>
          <w:rFonts w:asciiTheme="minorHAnsi" w:eastAsiaTheme="minorEastAsia" w:hAnsiTheme="minorHAnsi" w:cstheme="minorBidi"/>
          <w:szCs w:val="22"/>
        </w:rPr>
      </w:pPr>
      <w:r>
        <w:t xml:space="preserve">For those seeking further information on each of these points in turn they are expanded upon in the </w:t>
      </w:r>
      <w:r w:rsidR="00700B43" w:rsidRPr="1161C6B1">
        <w:rPr>
          <w:rStyle w:val="Hyperlink"/>
        </w:rPr>
        <w:t>appendix</w:t>
      </w:r>
      <w:r>
        <w:t xml:space="preserve"> of this briefing.  </w:t>
      </w:r>
    </w:p>
    <w:p w14:paraId="642783FC" w14:textId="5A53350D" w:rsidR="007D5B47" w:rsidRPr="00622564" w:rsidRDefault="007D5B47" w:rsidP="0B52454F">
      <w:pPr>
        <w:rPr>
          <w:rFonts w:eastAsiaTheme="minorEastAsia"/>
          <w:b/>
          <w:bCs/>
          <w:color w:val="000000" w:themeColor="text1"/>
          <w:sz w:val="28"/>
          <w:szCs w:val="28"/>
        </w:rPr>
      </w:pPr>
      <w:r w:rsidRPr="0B52454F">
        <w:rPr>
          <w:b/>
          <w:bCs/>
          <w:sz w:val="28"/>
          <w:szCs w:val="28"/>
        </w:rPr>
        <w:br w:type="page"/>
      </w:r>
      <w:r w:rsidRPr="0B52454F">
        <w:rPr>
          <w:b/>
          <w:bCs/>
          <w:sz w:val="28"/>
          <w:szCs w:val="28"/>
        </w:rPr>
        <w:lastRenderedPageBreak/>
        <w:t xml:space="preserve">Recommendations to Government </w:t>
      </w:r>
    </w:p>
    <w:p w14:paraId="5E4DDF77" w14:textId="63483264" w:rsidR="00D35B21" w:rsidRDefault="00311F32" w:rsidP="00B8633C">
      <w:pPr>
        <w:pStyle w:val="Point"/>
        <w:numPr>
          <w:ilvl w:val="0"/>
          <w:numId w:val="1"/>
        </w:numPr>
      </w:pPr>
      <w:r>
        <w:t xml:space="preserve">Over the past few years, we have been lobbying </w:t>
      </w:r>
      <w:r w:rsidR="00111D12">
        <w:t>government</w:t>
      </w:r>
      <w:r>
        <w:t xml:space="preserve"> to improve the way CVAs works so that they are fairer and the process is more transparent for creditors</w:t>
      </w:r>
      <w:r w:rsidR="00D35B21">
        <w:t>. Given that the C</w:t>
      </w:r>
      <w:r w:rsidR="00031933">
        <w:t>ovid</w:t>
      </w:r>
      <w:r w:rsidR="00D35B21">
        <w:t xml:space="preserve">-19 crisis is causing such an unprecedented degree of disruption and financial distress on the high street and will inevitably result in more companies considering their insolvency options, </w:t>
      </w:r>
      <w:r w:rsidR="00111D12">
        <w:t>it is more crucial than ever that government moves to reassure creditors</w:t>
      </w:r>
      <w:r>
        <w:t xml:space="preserve">. </w:t>
      </w:r>
    </w:p>
    <w:p w14:paraId="532C7880" w14:textId="6C82AED8" w:rsidR="008D38F2" w:rsidRDefault="00311F32" w:rsidP="00B8633C">
      <w:pPr>
        <w:pStyle w:val="Point"/>
        <w:numPr>
          <w:ilvl w:val="0"/>
          <w:numId w:val="1"/>
        </w:numPr>
      </w:pPr>
      <w:r>
        <w:t xml:space="preserve">Our key asks are that: </w:t>
      </w:r>
    </w:p>
    <w:p w14:paraId="74050775" w14:textId="77777777" w:rsidR="00C840D7" w:rsidRDefault="00C840D7" w:rsidP="00C840D7">
      <w:pPr>
        <w:pStyle w:val="Point"/>
        <w:numPr>
          <w:ilvl w:val="1"/>
          <w:numId w:val="1"/>
        </w:numPr>
      </w:pPr>
      <w:r>
        <w:t xml:space="preserve">Government should ensure the voting procedure is fairer to those that the CVA compromises. A way to ensure this would be to not count the votes of creditors who are unaffected (or indeed their position is improved) by the proposal.  Alternatively, Government could implement a statutory requirement that the chairman assess the value of future/contingent claims for voting purposes via a more appropriate formula. The arbitrary 75% discount should be explicitly ruled out. </w:t>
      </w:r>
    </w:p>
    <w:p w14:paraId="31D27AD9" w14:textId="5AE870E9" w:rsidR="00907008" w:rsidRDefault="007D5B47" w:rsidP="00B8633C">
      <w:pPr>
        <w:pStyle w:val="Point"/>
        <w:numPr>
          <w:ilvl w:val="1"/>
          <w:numId w:val="1"/>
        </w:numPr>
      </w:pPr>
      <w:r>
        <w:t>Large CVAs should be referred to an independent third-party for review. The Pre-Pack Pool could perform such a function. The remit of that independent third party would be to check that (a) one class of creditors was not being treated less favourably than others unless that was absolutely necessary for the rescue of the business, (b) if they were so treated then there was a proper mechanism to compensate them out of the future profits of the business (e.g. no dividend should be paid to shareholders until their claims were met in full), and (c) the CVA proposal went no further than was reasonably necessary to avoid formal insolvency.</w:t>
      </w:r>
    </w:p>
    <w:p w14:paraId="0DFBB9E5" w14:textId="6647ED93" w:rsidR="00907008" w:rsidRDefault="007D5B47" w:rsidP="0B52454F">
      <w:pPr>
        <w:pStyle w:val="Point"/>
        <w:numPr>
          <w:ilvl w:val="1"/>
          <w:numId w:val="1"/>
        </w:numPr>
        <w:rPr>
          <w:rFonts w:asciiTheme="minorHAnsi" w:eastAsiaTheme="minorEastAsia" w:hAnsiTheme="minorHAnsi" w:cstheme="minorBidi"/>
        </w:rPr>
      </w:pPr>
      <w:r>
        <w:t xml:space="preserve">The 14-day notice period of the creditors' meeting should be extended to 28-days to give creditors enough time to consider proposals, however with a provision that allows businesses to apply for a 14-day notice period, if they can prove they cannot avoid insolvency for 28-days. This would require a change to The Insolvency Rules 2016.  </w:t>
      </w:r>
    </w:p>
    <w:p w14:paraId="1E6247E5" w14:textId="77777777" w:rsidR="00907008" w:rsidRDefault="007D5B47" w:rsidP="00B8633C">
      <w:pPr>
        <w:pStyle w:val="Point"/>
        <w:numPr>
          <w:ilvl w:val="1"/>
          <w:numId w:val="1"/>
        </w:numPr>
      </w:pPr>
      <w:r>
        <w:t>If legislative change is not possible immediately, Government, the insolvency profession and the BPF should work together to codify what is good practice in terms of the nominees' duties towards creditors (including the duty to scrutinise the proposal, investigate and give full disclosure) and voting rights for CVAs.</w:t>
      </w:r>
    </w:p>
    <w:p w14:paraId="63C7032C" w14:textId="6A2C6FD3" w:rsidR="008D38F2" w:rsidRPr="008D38F2" w:rsidRDefault="007D5B47" w:rsidP="00FC67FC">
      <w:pPr>
        <w:pStyle w:val="Point"/>
        <w:numPr>
          <w:ilvl w:val="1"/>
          <w:numId w:val="1"/>
        </w:numPr>
      </w:pPr>
      <w:r>
        <w:t xml:space="preserve">Government must encourage insolvency professionals to follow BPF best practice guidance on engagement with property owners, including ensuring that engagement takes place as early as possible in the CVA process. </w:t>
      </w:r>
    </w:p>
    <w:p w14:paraId="2C80EC30" w14:textId="77777777" w:rsidR="00FC67FC" w:rsidRDefault="00FC67FC">
      <w:pPr>
        <w:rPr>
          <w:rFonts w:ascii="Calibri" w:eastAsia="Times New Roman" w:hAnsi="Calibri" w:cstheme="majorBidi"/>
          <w:b/>
          <w:bCs/>
          <w:color w:val="000000" w:themeColor="text1"/>
          <w:sz w:val="28"/>
          <w:szCs w:val="32"/>
        </w:rPr>
      </w:pPr>
      <w:r>
        <w:rPr>
          <w:rFonts w:eastAsia="Times New Roman"/>
          <w:b/>
          <w:sz w:val="28"/>
        </w:rPr>
        <w:br w:type="page"/>
      </w:r>
    </w:p>
    <w:p w14:paraId="7D3EBC61" w14:textId="04AD7A96" w:rsidR="007714AA" w:rsidRPr="007714AA" w:rsidRDefault="00FC67FC" w:rsidP="00692106">
      <w:pPr>
        <w:pStyle w:val="Point"/>
        <w:ind w:left="397" w:hanging="397"/>
        <w:rPr>
          <w:rFonts w:eastAsia="Times New Roman"/>
          <w:b/>
          <w:sz w:val="28"/>
        </w:rPr>
      </w:pPr>
      <w:bookmarkStart w:id="1" w:name="appendix"/>
      <w:r>
        <w:rPr>
          <w:rFonts w:eastAsia="Times New Roman"/>
          <w:b/>
          <w:sz w:val="28"/>
        </w:rPr>
        <w:lastRenderedPageBreak/>
        <w:t xml:space="preserve">Appendix: </w:t>
      </w:r>
      <w:r w:rsidR="007714AA" w:rsidRPr="007714AA">
        <w:rPr>
          <w:rFonts w:eastAsia="Times New Roman"/>
          <w:b/>
          <w:sz w:val="28"/>
        </w:rPr>
        <w:t>What’s wrong with CVAs?</w:t>
      </w:r>
      <w:r w:rsidR="008D38F2">
        <w:rPr>
          <w:rFonts w:eastAsia="Times New Roman"/>
          <w:b/>
          <w:sz w:val="28"/>
        </w:rPr>
        <w:t xml:space="preserve"> </w:t>
      </w:r>
    </w:p>
    <w:p w14:paraId="4AD41BC2" w14:textId="77777777" w:rsidR="00133E52" w:rsidRPr="00133E52" w:rsidRDefault="00133E52" w:rsidP="00133E52">
      <w:pPr>
        <w:pStyle w:val="Point"/>
        <w:rPr>
          <w:b/>
          <w:sz w:val="28"/>
        </w:rPr>
      </w:pPr>
      <w:bookmarkStart w:id="2" w:name="effectiverestructure"/>
      <w:bookmarkEnd w:id="1"/>
      <w:r w:rsidRPr="00133E52">
        <w:rPr>
          <w:b/>
          <w:sz w:val="28"/>
        </w:rPr>
        <w:t xml:space="preserve">Lack of effective restructure </w:t>
      </w:r>
    </w:p>
    <w:bookmarkEnd w:id="2"/>
    <w:p w14:paraId="4639B925" w14:textId="77777777" w:rsidR="00133E52" w:rsidRPr="00FC67FC" w:rsidRDefault="00133E52" w:rsidP="00133E52">
      <w:pPr>
        <w:pStyle w:val="Point"/>
        <w:numPr>
          <w:ilvl w:val="0"/>
          <w:numId w:val="1"/>
        </w:numPr>
      </w:pPr>
      <w:r>
        <w:t xml:space="preserve">CVAs do not require firms, or indeed their IPs, to adequately assess why they are failing. This is a key reason why so many companies entering CVAs eventually end up in administration. </w:t>
      </w:r>
    </w:p>
    <w:p w14:paraId="2F8087D9" w14:textId="77777777" w:rsidR="00133E52" w:rsidRPr="00FC67FC" w:rsidRDefault="00133E52" w:rsidP="00133E52">
      <w:pPr>
        <w:pStyle w:val="Point"/>
        <w:numPr>
          <w:ilvl w:val="0"/>
          <w:numId w:val="1"/>
        </w:numPr>
      </w:pPr>
      <w:r>
        <w:t xml:space="preserve">Successful CVAs have tended to be a proper restructuring exercise of the business in distress, whereby refinancing is sought and an effective turnaround plan is proposed and implemented alongside the CVA. In these cases, the firm in question will look at all the aspects of the business: Is the consumer offer up to scratch? Does it have the right marketing channels? Does it have the right management? Is the debt being restructured? Is new equity being invested, particularly by existing shareholder? Is it most effectively restructuring the property estate and leases? </w:t>
      </w:r>
    </w:p>
    <w:p w14:paraId="70E86DA4" w14:textId="77777777" w:rsidR="00133E52" w:rsidRPr="00FC67FC" w:rsidRDefault="00133E52" w:rsidP="00133E52">
      <w:pPr>
        <w:pStyle w:val="Point"/>
        <w:numPr>
          <w:ilvl w:val="0"/>
          <w:numId w:val="1"/>
        </w:numPr>
      </w:pPr>
      <w:r>
        <w:t xml:space="preserve">However, many firms undertaking CVAs focus only on compromising creditors and cutting costs. As a result, these CVAs tend to simply keep the business in distress afloat for a short period, without making the necessary changes to turn its fortunes around. Most CVA packs we see actually point to issues such as over expansion, poor product, poor marketing, ill-though through logistics plans, IT failures and over leverage, while at the same time outlining no means through which to address these failings. If CVAs are to work effectively, they should be proper restructuring exercises that look at all aspects of the business, including whether the firm has the most appropriate management. Firms should be required by legislation to outline their turnaround plan in CVA proposals in full. </w:t>
      </w:r>
    </w:p>
    <w:p w14:paraId="3D8E6C81" w14:textId="0445EEBA" w:rsidR="00133E52" w:rsidRDefault="00133E52" w:rsidP="00133E52">
      <w:pPr>
        <w:pStyle w:val="Point"/>
        <w:numPr>
          <w:ilvl w:val="0"/>
          <w:numId w:val="1"/>
        </w:numPr>
      </w:pPr>
      <w:r>
        <w:t xml:space="preserve">This is also a significant frustration for other well-run businesses that see their competitors simply benefiting from the restructuring of costs achieved through a CVA. It is a complaint that our members hear frequently from corporate retailer occupiers. It should be noted too that as CVAs provide for cost reductions in specific locations, they impact upon competition on a local level in a way in which other forms of insolvency usually do not, often therefore allowing for local monopoly advantage. CVAs must move on from simply being cost cutting exercises if this is to be in any way justified. </w:t>
      </w:r>
      <w:r>
        <w:br/>
      </w:r>
    </w:p>
    <w:p w14:paraId="1BE56948" w14:textId="77777777" w:rsidR="00133E52" w:rsidRPr="00133E52" w:rsidRDefault="00133E52" w:rsidP="00133E52">
      <w:pPr>
        <w:pStyle w:val="Point"/>
        <w:rPr>
          <w:sz w:val="28"/>
        </w:rPr>
      </w:pPr>
      <w:bookmarkStart w:id="3" w:name="Targetingofcreditorclassesandmanipu"/>
      <w:r w:rsidRPr="00133E52">
        <w:rPr>
          <w:b/>
          <w:sz w:val="28"/>
        </w:rPr>
        <w:t xml:space="preserve">Targeting of creditor classes and </w:t>
      </w:r>
      <w:r w:rsidRPr="00133E52">
        <w:rPr>
          <w:rFonts w:eastAsia="Times New Roman"/>
          <w:b/>
          <w:sz w:val="28"/>
        </w:rPr>
        <w:t>manipulation of the vote</w:t>
      </w:r>
      <w:r w:rsidRPr="00133E52">
        <w:rPr>
          <w:sz w:val="28"/>
        </w:rPr>
        <w:t xml:space="preserve"> </w:t>
      </w:r>
    </w:p>
    <w:bookmarkEnd w:id="3"/>
    <w:p w14:paraId="4B04AF85" w14:textId="053E04FB" w:rsidR="00133E52" w:rsidRPr="00FC67FC" w:rsidRDefault="00133E52" w:rsidP="00133E52">
      <w:pPr>
        <w:pStyle w:val="Point"/>
        <w:numPr>
          <w:ilvl w:val="0"/>
          <w:numId w:val="1"/>
        </w:numPr>
      </w:pPr>
      <w:r>
        <w:t>The voting procedure is being manipulated in order to target property owners. This widespread practice has gone on for many years. It is not supported by case law and there is no justification for it, other than to cram down the votes of property owners</w:t>
      </w:r>
      <w:r w:rsidR="0087167C">
        <w:t xml:space="preserve"> or indeed other classes of creditors that a firm wants to compromise in that particular case</w:t>
      </w:r>
      <w:r>
        <w:t>.</w:t>
      </w:r>
    </w:p>
    <w:p w14:paraId="0DCE5C48" w14:textId="0891DEEC" w:rsidR="00133E52" w:rsidRPr="00FC67FC" w:rsidRDefault="00133E52" w:rsidP="00133E52">
      <w:pPr>
        <w:pStyle w:val="Point"/>
        <w:numPr>
          <w:ilvl w:val="0"/>
          <w:numId w:val="1"/>
        </w:numPr>
      </w:pPr>
      <w:r>
        <w:t>To get a CVA approved it must be voted through by 75% of the unsecured creditors by value. The 75% is based on the weight of claims that the creditor has, but the rules for calculating unascertained debt, such as future rent, for voting purposes provide that these claims can be valued at £1 unless the chair</w:t>
      </w:r>
      <w:r w:rsidR="0087167C">
        <w:t xml:space="preserve"> – the IP -</w:t>
      </w:r>
      <w:r>
        <w:t xml:space="preserve"> is in a position to attribute a higher value to the claim. </w:t>
      </w:r>
    </w:p>
    <w:p w14:paraId="40B6FD43" w14:textId="16E2F36D" w:rsidR="00133E52" w:rsidRPr="00FC67FC" w:rsidRDefault="00133E52" w:rsidP="00133E52">
      <w:pPr>
        <w:pStyle w:val="Point"/>
        <w:numPr>
          <w:ilvl w:val="0"/>
          <w:numId w:val="1"/>
        </w:numPr>
      </w:pPr>
      <w:r>
        <w:t xml:space="preserve">In theory, the </w:t>
      </w:r>
      <w:r w:rsidR="0087167C">
        <w:t>property-owner's</w:t>
      </w:r>
      <w:r>
        <w:t xml:space="preserve"> claim on future rent should run to the end of the lease. However, landlord claims are deflated to a few months’ rent under the ever more unlikely presumption that they will be able to re-let the unit, and IPs frequently appear unwilling to consider evidence put forward by </w:t>
      </w:r>
      <w:r w:rsidR="0087167C">
        <w:t>property owners</w:t>
      </w:r>
      <w:r>
        <w:t xml:space="preserve"> that would allow them to more robustly assess their claim. </w:t>
      </w:r>
    </w:p>
    <w:p w14:paraId="347A1C2E" w14:textId="77777777" w:rsidR="0087167C" w:rsidRDefault="00133E52" w:rsidP="00133E52">
      <w:pPr>
        <w:pStyle w:val="Point"/>
        <w:numPr>
          <w:ilvl w:val="0"/>
          <w:numId w:val="1"/>
        </w:numPr>
      </w:pPr>
      <w:r>
        <w:lastRenderedPageBreak/>
        <w:t xml:space="preserve">The estimated minimum value of </w:t>
      </w:r>
      <w:r w:rsidR="0087167C">
        <w:t>property-owner's</w:t>
      </w:r>
      <w:r>
        <w:t xml:space="preserve"> future contingent claims for voting purposes are typically calculated according to the approach taken in the </w:t>
      </w:r>
      <w:r w:rsidRPr="0B52454F">
        <w:rPr>
          <w:i/>
          <w:iCs/>
        </w:rPr>
        <w:t xml:space="preserve">Re Park Air Services </w:t>
      </w:r>
      <w:r>
        <w:t xml:space="preserve">case, with the formula used often comprising standard terms across a portfolio of properties. An arbitrary 75% discount has historically then been applied for voting purposes, without proper justification. The explanation given for this arbitrary discount is always that it reflects the uncertainty of the landlords' losses. However, this ignores the property advice the firm will have received, which is used to calculate </w:t>
      </w:r>
      <w:r w:rsidRPr="0B52454F">
        <w:rPr>
          <w:i/>
          <w:iCs/>
        </w:rPr>
        <w:t>Re Park Air Services</w:t>
      </w:r>
      <w:r>
        <w:t xml:space="preserve"> discounts before the further 75% discount is then applied anyway. </w:t>
      </w:r>
    </w:p>
    <w:p w14:paraId="0B2E61F9" w14:textId="12DE0074" w:rsidR="0094039A" w:rsidRDefault="0094039A" w:rsidP="0094039A">
      <w:pPr>
        <w:pStyle w:val="Point"/>
        <w:numPr>
          <w:ilvl w:val="0"/>
          <w:numId w:val="1"/>
        </w:numPr>
      </w:pPr>
      <w:r>
        <w:t xml:space="preserve">In essence, companies should not have it both ways. If the chair has sufficient evidence to calculate the landlords' likely loss on a </w:t>
      </w:r>
      <w:r w:rsidRPr="0B52454F">
        <w:rPr>
          <w:i/>
          <w:iCs/>
        </w:rPr>
        <w:t>Re Park Air Services</w:t>
      </w:r>
      <w:r>
        <w:t xml:space="preserve"> basis then he or she should do so and no more. If he or she has no such evidence then it may be justifiable to apply an arbitrary discount to the maximum possible amount of the landlords' loss (the future rent should run to the end of the lease). He or she should not be able to do both.</w:t>
      </w:r>
    </w:p>
    <w:p w14:paraId="471EDBA4" w14:textId="11DE8C3A" w:rsidR="00133E52" w:rsidRPr="00FC67FC" w:rsidRDefault="00133E52" w:rsidP="00133E52">
      <w:pPr>
        <w:pStyle w:val="Point"/>
        <w:numPr>
          <w:ilvl w:val="0"/>
          <w:numId w:val="1"/>
        </w:numPr>
      </w:pPr>
      <w:r>
        <w:t xml:space="preserve">It should be noted that in the past year we have seen some IPs discounting at 50% or even 25%, which does to a degree more accurately reflect the unascertained nature of claims. We have though seen evidence since the outbreak of the crisis </w:t>
      </w:r>
      <w:r w:rsidR="0087167C">
        <w:t>some</w:t>
      </w:r>
      <w:r>
        <w:t xml:space="preserve"> IPs are </w:t>
      </w:r>
      <w:r w:rsidR="0087167C">
        <w:t>continuing</w:t>
      </w:r>
      <w:r>
        <w:t xml:space="preserve"> to use the 75% discount; we fear just to target property owners within proposals</w:t>
      </w:r>
      <w:r w:rsidR="0094039A">
        <w:t xml:space="preserve"> who are unlikely to want to publically challenge a restructuring during a global pandemic</w:t>
      </w:r>
      <w:r>
        <w:t xml:space="preserve">.  </w:t>
      </w:r>
    </w:p>
    <w:p w14:paraId="08E670E5" w14:textId="073BF333" w:rsidR="00133E52" w:rsidRPr="00FC67FC" w:rsidRDefault="00133E52" w:rsidP="00133E52">
      <w:pPr>
        <w:pStyle w:val="Point"/>
        <w:numPr>
          <w:ilvl w:val="0"/>
          <w:numId w:val="1"/>
        </w:numPr>
      </w:pPr>
      <w:r>
        <w:t>The current rules thereby enable companies to unfairly engineer the weight attached to affected creditors’ voting rights, often resulting in unaffected creditors approving CVAs with affe</w:t>
      </w:r>
      <w:r w:rsidR="0094039A">
        <w:t>cted creditors being powerless. I</w:t>
      </w:r>
      <w:r>
        <w:t xml:space="preserve">t should be noted that this engineering is company driven and built into the CVA proposal itself. We believe this is fundamentally unfair and requires Government intervention to be solved. </w:t>
      </w:r>
    </w:p>
    <w:p w14:paraId="0B85A4A3" w14:textId="1A4FD15E" w:rsidR="00133E52" w:rsidRPr="00FC67FC" w:rsidRDefault="00133E52" w:rsidP="00133E52">
      <w:pPr>
        <w:pStyle w:val="Point"/>
        <w:numPr>
          <w:ilvl w:val="0"/>
          <w:numId w:val="1"/>
        </w:numPr>
      </w:pPr>
      <w:r>
        <w:t xml:space="preserve">This also means the argument that </w:t>
      </w:r>
      <w:r w:rsidR="0094039A">
        <w:t>property-owners</w:t>
      </w:r>
      <w:r>
        <w:t xml:space="preserve"> vote CVAs through, so there is no problem, does not stand. The manipulation of the vote often means that even if all affected landlords voted against the proposal, they would in most cases still not be able to block the CVA. They would though still have to endure being castigated in the media for attempting to vote down proposals. </w:t>
      </w:r>
    </w:p>
    <w:p w14:paraId="5B403F95" w14:textId="3D9F2446" w:rsidR="00133E52" w:rsidRDefault="00133E52" w:rsidP="00FC67FC">
      <w:pPr>
        <w:pStyle w:val="Point"/>
        <w:numPr>
          <w:ilvl w:val="0"/>
          <w:numId w:val="1"/>
        </w:numPr>
      </w:pPr>
      <w:r>
        <w:t>It is wrong to target particular creditors in this way and this is a clear abuse of the CVA process. This should be a key aspect of a Government review into CVAs. A way to ensure fairness would be to implement a statutory requirement that creditors who are unaffected by a CVA (or only nominally affected) do not have their votes counted on the basis of their inherent conflict of interest with those creditors who are, in effect, funding the turnaround of the business.  Alternatively, the chairman should be required properly to assess the value of future/contingent claims for voting purposes via a more appropriate formula that creates proportionality between vote weighting and those the CVA compromises. Government should explicitly rule out the use of the arbitrary 75% discount through legislation.</w:t>
      </w:r>
    </w:p>
    <w:p w14:paraId="1D3F6F9E" w14:textId="77777777" w:rsidR="00133E52" w:rsidRPr="00133E52" w:rsidRDefault="00133E52" w:rsidP="00133E52">
      <w:pPr>
        <w:pStyle w:val="Point"/>
        <w:ind w:left="360"/>
      </w:pPr>
    </w:p>
    <w:p w14:paraId="2ECFB4BA" w14:textId="77777777" w:rsidR="0094039A" w:rsidRDefault="0094039A">
      <w:pPr>
        <w:rPr>
          <w:rFonts w:ascii="Calibri" w:eastAsiaTheme="majorEastAsia" w:hAnsi="Calibri" w:cstheme="majorBidi"/>
          <w:b/>
          <w:bCs/>
          <w:color w:val="000000" w:themeColor="text1"/>
          <w:sz w:val="28"/>
          <w:szCs w:val="32"/>
        </w:rPr>
      </w:pPr>
      <w:bookmarkStart w:id="4" w:name="Lackoftransparency"/>
      <w:r>
        <w:rPr>
          <w:b/>
          <w:sz w:val="28"/>
        </w:rPr>
        <w:br w:type="page"/>
      </w:r>
    </w:p>
    <w:p w14:paraId="6E0BFD03" w14:textId="17F861E1" w:rsidR="00FC67FC" w:rsidRPr="00FC67FC" w:rsidRDefault="00FC67FC" w:rsidP="00FC67FC">
      <w:pPr>
        <w:pStyle w:val="Point"/>
        <w:rPr>
          <w:b/>
          <w:sz w:val="28"/>
        </w:rPr>
      </w:pPr>
      <w:r w:rsidRPr="00FC67FC">
        <w:rPr>
          <w:b/>
          <w:sz w:val="28"/>
        </w:rPr>
        <w:lastRenderedPageBreak/>
        <w:t>Lack of transparency</w:t>
      </w:r>
    </w:p>
    <w:bookmarkEnd w:id="4"/>
    <w:p w14:paraId="397880D4" w14:textId="77777777" w:rsidR="00FC67FC" w:rsidRPr="00FC67FC" w:rsidRDefault="00FC67FC" w:rsidP="00FC67FC">
      <w:pPr>
        <w:pStyle w:val="Point"/>
        <w:ind w:left="360"/>
        <w:rPr>
          <w:b/>
        </w:rPr>
      </w:pPr>
      <w:r w:rsidRPr="00FC67FC">
        <w:rPr>
          <w:b/>
        </w:rPr>
        <w:t>Lack of rights to information</w:t>
      </w:r>
    </w:p>
    <w:p w14:paraId="5EF31C61" w14:textId="77777777" w:rsidR="00FC67FC" w:rsidRPr="00FC67FC" w:rsidRDefault="00FC67FC" w:rsidP="00FC67FC">
      <w:pPr>
        <w:pStyle w:val="Point"/>
        <w:numPr>
          <w:ilvl w:val="0"/>
          <w:numId w:val="1"/>
        </w:numPr>
      </w:pPr>
      <w:r>
        <w:t xml:space="preserve">Unsecured creditors have little rights to information. A CVA proposal document typically runs in excess of 200 pages, yet, there is almost always a lack of quality financial information regarding the company’s financial status, the basis for future funding to support a successful restructuring and the assessment of profitability applied to the properties in its property portfolio. All of this information is available to the company, and often made available to secured creditors, but is not given to the unsecured creditors being asked to vote and support turnaround. </w:t>
      </w:r>
    </w:p>
    <w:p w14:paraId="2F94AD80" w14:textId="77777777" w:rsidR="00FC67FC" w:rsidRPr="00FC67FC" w:rsidRDefault="00FC67FC" w:rsidP="00FC67FC">
      <w:pPr>
        <w:pStyle w:val="Point"/>
        <w:numPr>
          <w:ilvl w:val="0"/>
          <w:numId w:val="1"/>
        </w:numPr>
      </w:pPr>
      <w:r>
        <w:t xml:space="preserve">Proper disclosure to creditors from whom the company is seeking support for a CVA is required to ensure the CVA in question really is the most appropriate course of action, it has been structured in a fair and appropriate manner and the firm truly is nearing insolvency. </w:t>
      </w:r>
    </w:p>
    <w:p w14:paraId="75D0CF6E" w14:textId="5BC3CE89" w:rsidR="00FC67FC" w:rsidRPr="00FC67FC" w:rsidRDefault="00FC67FC" w:rsidP="00FC67FC">
      <w:pPr>
        <w:pStyle w:val="Point"/>
        <w:numPr>
          <w:ilvl w:val="0"/>
          <w:numId w:val="1"/>
        </w:numPr>
      </w:pPr>
      <w:r>
        <w:t xml:space="preserve">As a bare minimum, store level EBITDA should be provided to </w:t>
      </w:r>
      <w:r w:rsidR="0094039A">
        <w:t>property-owners</w:t>
      </w:r>
      <w:r>
        <w:t xml:space="preserve"> for the leases that are compromised. Without that, property owners are simply unable to assess whether they are being treated fairly. In light of the ruling in the challenge to the Debenhams CVA that firms must ensure property owners receive market rent under CVAs, companies should also be required to disclose any market rental valuations that they have obtained and are relying on for the purposes of calculating discounted rent under the CVA. </w:t>
      </w:r>
    </w:p>
    <w:p w14:paraId="66B2972F" w14:textId="6CF4C873" w:rsidR="00FC67FC" w:rsidRPr="00FC67FC" w:rsidRDefault="00FC67FC" w:rsidP="00FC67FC">
      <w:pPr>
        <w:pStyle w:val="Point"/>
        <w:numPr>
          <w:ilvl w:val="0"/>
          <w:numId w:val="1"/>
        </w:numPr>
      </w:pPr>
      <w:r>
        <w:t xml:space="preserve">Recent experience justifies property owners’ suspicion of CVAs and their need for information. On multiple occasions our members have encountered situations where the company has compromised future rent through a CVA, given the creditor a break right, and on exercise of that break right offered to pay a higher rent than that which was originally payable under the lease pre-CVA. This seriously undermines the confidence that </w:t>
      </w:r>
      <w:r w:rsidR="00AF12B0">
        <w:t>property-owners</w:t>
      </w:r>
      <w:r>
        <w:t xml:space="preserve"> have in the system as it calls into question the representations made by the firm in the CVA proposal as to the profitability and market value of the property in the first place. </w:t>
      </w:r>
    </w:p>
    <w:p w14:paraId="6C5ED963" w14:textId="08E763D4" w:rsidR="00FC67FC" w:rsidRPr="00FC67FC" w:rsidRDefault="00FC67FC" w:rsidP="00BA6AF6">
      <w:pPr>
        <w:pStyle w:val="Point"/>
        <w:numPr>
          <w:ilvl w:val="0"/>
          <w:numId w:val="1"/>
        </w:numPr>
      </w:pPr>
      <w:r>
        <w:t>In addition, the simple fact that so many CVAs fail, despite IPs testifying in each case that they think they have a real chance of success when proposed, suggests that either IPs and firms frequently make poor judgements on CVAs or perverse incentives are at play.</w:t>
      </w:r>
      <w:r w:rsidR="00BA6AF6">
        <w:t xml:space="preserve"> </w:t>
      </w:r>
      <w:hyperlink r:id="rId15">
        <w:r w:rsidR="00BA6AF6" w:rsidRPr="0B52454F">
          <w:rPr>
            <w:rStyle w:val="Hyperlink"/>
          </w:rPr>
          <w:t>Research</w:t>
        </w:r>
      </w:hyperlink>
      <w:r w:rsidR="00BA6AF6">
        <w:t xml:space="preserve"> by the insolvency trade body R3 concludes that of the 552 CVAs commenced in 2013, 65% were terminated without achieving their intended aims.</w:t>
      </w:r>
      <w:r>
        <w:t xml:space="preserve"> In order to overcome these issues, unsecured creditors must be given sight of all relevant information to see whether a CVA i</w:t>
      </w:r>
      <w:r w:rsidR="00BA6AF6">
        <w:t xml:space="preserve">s appropriate for themselves.  </w:t>
      </w:r>
    </w:p>
    <w:p w14:paraId="0DC699B6" w14:textId="77777777" w:rsidR="00FC67FC" w:rsidRPr="00FC67FC" w:rsidRDefault="00FC67FC" w:rsidP="00FC67FC">
      <w:pPr>
        <w:pStyle w:val="Point"/>
        <w:ind w:left="360"/>
        <w:rPr>
          <w:b/>
        </w:rPr>
      </w:pPr>
      <w:r w:rsidRPr="00FC67FC">
        <w:rPr>
          <w:b/>
        </w:rPr>
        <w:t xml:space="preserve">Lack of time to consider proposals </w:t>
      </w:r>
    </w:p>
    <w:p w14:paraId="1703A094" w14:textId="77777777" w:rsidR="00FC67FC" w:rsidRPr="00FC67FC" w:rsidRDefault="00FC67FC" w:rsidP="00FC67FC">
      <w:pPr>
        <w:pStyle w:val="Point"/>
        <w:numPr>
          <w:ilvl w:val="0"/>
          <w:numId w:val="1"/>
        </w:numPr>
      </w:pPr>
      <w:r>
        <w:t xml:space="preserve">Unsecured creditors, especially smaller ones who may be unfamiliar with CVAs, are not given adequate time to consider proposals. </w:t>
      </w:r>
    </w:p>
    <w:p w14:paraId="01340FDB" w14:textId="77777777" w:rsidR="00FC67FC" w:rsidRPr="00FC67FC" w:rsidRDefault="00FC67FC" w:rsidP="00FC67FC">
      <w:pPr>
        <w:pStyle w:val="Point"/>
        <w:numPr>
          <w:ilvl w:val="0"/>
          <w:numId w:val="1"/>
        </w:numPr>
      </w:pPr>
      <w:r>
        <w:t xml:space="preserve">The IP is required to prepare a prospectus on the CVA and host a creditors meeting. However, the meeting is usually at the end of the process and by that time it is too late for creditors to affect change. This problem is exaggerated further by the fact that CVAs are nowadays often being used to restructure very large, complex companies, such as Debenhams or the Arcadia Group, and proposal documents mirror this in their scope and detail. </w:t>
      </w:r>
    </w:p>
    <w:p w14:paraId="4550FFFA" w14:textId="77777777" w:rsidR="00FC67FC" w:rsidRPr="00FC67FC" w:rsidRDefault="00FC67FC" w:rsidP="00FC67FC">
      <w:pPr>
        <w:pStyle w:val="Point"/>
        <w:numPr>
          <w:ilvl w:val="0"/>
          <w:numId w:val="1"/>
        </w:numPr>
      </w:pPr>
      <w:r>
        <w:t xml:space="preserve">The 14-days after launch creditors get to consider proposals, decide how they will vote and propose amendments is simply not enough. CVAs affecting property owners should always be </w:t>
      </w:r>
      <w:r>
        <w:lastRenderedPageBreak/>
        <w:t xml:space="preserve">discussed with them at a CVA’s inception like they are with a firm’s secured creditors and the time period between launch and the creditors meeting should be extended to 28-days. </w:t>
      </w:r>
    </w:p>
    <w:p w14:paraId="4F78F53C" w14:textId="77777777" w:rsidR="00FC67FC" w:rsidRPr="00FC67FC" w:rsidRDefault="00FC67FC" w:rsidP="00FC67FC">
      <w:pPr>
        <w:pStyle w:val="Point"/>
        <w:numPr>
          <w:ilvl w:val="0"/>
          <w:numId w:val="1"/>
        </w:numPr>
      </w:pPr>
      <w:r>
        <w:t xml:space="preserve">An effective turnaround will almost always need property owners to work in partnership with firms and CVAs are currently working against this by giving the impression that unsecured creditors are being taken advantage of by an expediated process. </w:t>
      </w:r>
    </w:p>
    <w:p w14:paraId="6E64D4D0" w14:textId="77777777" w:rsidR="00FC67FC" w:rsidRPr="00FC67FC" w:rsidRDefault="00FC67FC" w:rsidP="00FC67FC">
      <w:pPr>
        <w:pStyle w:val="Point"/>
        <w:ind w:left="360"/>
        <w:rPr>
          <w:b/>
        </w:rPr>
      </w:pPr>
      <w:r w:rsidRPr="00FC67FC">
        <w:rPr>
          <w:b/>
        </w:rPr>
        <w:t>Lack of effective engagement</w:t>
      </w:r>
    </w:p>
    <w:p w14:paraId="2D451D7C" w14:textId="1875A294" w:rsidR="00FC67FC" w:rsidRPr="00FC67FC" w:rsidRDefault="00FC67FC" w:rsidP="00FC67FC">
      <w:pPr>
        <w:pStyle w:val="Point"/>
        <w:numPr>
          <w:ilvl w:val="0"/>
          <w:numId w:val="1"/>
        </w:numPr>
      </w:pPr>
      <w:r>
        <w:t xml:space="preserve">In an attempt to overcome this problem, we have sought </w:t>
      </w:r>
      <w:r w:rsidR="00BA6AF6">
        <w:t xml:space="preserve">over the past few years </w:t>
      </w:r>
      <w:r>
        <w:t>to facilitate pre-launch engagement by hosting meetings on prospective CVAs with IPs</w:t>
      </w:r>
      <w:r w:rsidR="00BA6AF6">
        <w:t xml:space="preserve"> under non-disclosure agreement</w:t>
      </w:r>
      <w:r>
        <w:t xml:space="preserve">. </w:t>
      </w:r>
    </w:p>
    <w:p w14:paraId="4F88E381" w14:textId="77777777" w:rsidR="00FC67FC" w:rsidRPr="00FC67FC" w:rsidRDefault="00FC67FC" w:rsidP="00FC67FC">
      <w:pPr>
        <w:pStyle w:val="Point"/>
        <w:numPr>
          <w:ilvl w:val="0"/>
          <w:numId w:val="1"/>
        </w:numPr>
      </w:pPr>
      <w:r>
        <w:t xml:space="preserve">Some IPs working on CVAs for major retailers still though do not engage with us, or even individual property owners effected, or seem to believe that one can be a substitute for the other. Even those IPs we consider to be relatively good at engaging often only bring proposals to property owners a matter of days before launch, even though we know they work on these proposals for months in advance. As property owners have little rights to information, we are also often asked to engage on CVAs without being given the requisite material to assess them effectively. </w:t>
      </w:r>
    </w:p>
    <w:p w14:paraId="064D9634" w14:textId="08604345" w:rsidR="00133E52" w:rsidRDefault="00FC67FC" w:rsidP="00BA6AF6">
      <w:pPr>
        <w:pStyle w:val="Point"/>
        <w:numPr>
          <w:ilvl w:val="0"/>
          <w:numId w:val="1"/>
        </w:numPr>
      </w:pPr>
      <w:r>
        <w:t>This is a concern that our members share about CVA engagement too. We have heard countless testimonies that in individual one-to-one meetings there is usually a reluctance to provide information, such as store level trading data, to property owners even though that same information will be shared with secured creditors, such as banks. IPs and firms will also often only engage adequately with institutional property owners with which they have a prior relationship, or whom ‘hold the vote’ (in the rare occ</w:t>
      </w:r>
      <w:r w:rsidR="00133E52">
        <w:t xml:space="preserve">asions that this is the case). </w:t>
      </w:r>
    </w:p>
    <w:p w14:paraId="70015926" w14:textId="77777777" w:rsidR="00BA6AF6" w:rsidRPr="00BA6AF6" w:rsidRDefault="00BA6AF6" w:rsidP="00BA6AF6">
      <w:pPr>
        <w:pStyle w:val="Point"/>
        <w:ind w:left="360"/>
      </w:pPr>
    </w:p>
    <w:p w14:paraId="0B5A691E" w14:textId="1E466E22" w:rsidR="00FC67FC" w:rsidRPr="00133E52" w:rsidRDefault="00FC67FC" w:rsidP="00133E52">
      <w:pPr>
        <w:pStyle w:val="Point"/>
        <w:rPr>
          <w:b/>
          <w:sz w:val="28"/>
        </w:rPr>
      </w:pPr>
      <w:bookmarkStart w:id="5" w:name="Lackofoversightandlegislativeclarit"/>
      <w:r w:rsidRPr="00133E52">
        <w:rPr>
          <w:b/>
          <w:sz w:val="28"/>
        </w:rPr>
        <w:t xml:space="preserve">Lack of oversight </w:t>
      </w:r>
      <w:r w:rsidR="00133E52">
        <w:rPr>
          <w:b/>
          <w:sz w:val="28"/>
        </w:rPr>
        <w:t xml:space="preserve">and legislative clarity </w:t>
      </w:r>
    </w:p>
    <w:bookmarkEnd w:id="5"/>
    <w:p w14:paraId="267F6BFB" w14:textId="77777777" w:rsidR="00FC67FC" w:rsidRPr="00FC67FC" w:rsidRDefault="00FC67FC" w:rsidP="00FC67FC">
      <w:pPr>
        <w:pStyle w:val="Point"/>
        <w:numPr>
          <w:ilvl w:val="0"/>
          <w:numId w:val="1"/>
        </w:numPr>
        <w:rPr>
          <w:u w:val="single"/>
        </w:rPr>
      </w:pPr>
      <w:r>
        <w:t xml:space="preserve">A CVA has too many important implications to be left exclusively to the IP in question. CVAs affect thousands of employees, retailers themselves, the future of our town centres, local authorities’ business rates revenue, wider trade creditors, pension funds, property owners and the real estate investment market which is fundamental to the economy. </w:t>
      </w:r>
    </w:p>
    <w:p w14:paraId="015E4BFD" w14:textId="77777777" w:rsidR="00FC67FC" w:rsidRPr="00FC67FC" w:rsidRDefault="00FC67FC" w:rsidP="00FC67FC">
      <w:pPr>
        <w:pStyle w:val="Point"/>
        <w:numPr>
          <w:ilvl w:val="0"/>
          <w:numId w:val="1"/>
        </w:numPr>
        <w:rPr>
          <w:u w:val="single"/>
        </w:rPr>
      </w:pPr>
      <w:r>
        <w:t xml:space="preserve">In many cases, IPs even abdicate this responsibility and claim that CVAs are a company led process and it is not for them to assess fairness or scrutinise the terms of the proposal, or indeed, the financial information upon which CVAs are based. This is deeply concerning. As an out of court process, creditors rely on the IP to be the "honest broker" and provide independent oversight of the CVA in the interests of creditors, as is the case in other insolvency situations. That is not happening.  </w:t>
      </w:r>
    </w:p>
    <w:p w14:paraId="1995C72F" w14:textId="0AD46E69" w:rsidR="00FC67FC" w:rsidRPr="00FC67FC" w:rsidRDefault="00FC67FC" w:rsidP="00FC67FC">
      <w:pPr>
        <w:pStyle w:val="Point"/>
        <w:numPr>
          <w:ilvl w:val="0"/>
          <w:numId w:val="1"/>
        </w:numPr>
        <w:rPr>
          <w:u w:val="single"/>
        </w:rPr>
      </w:pPr>
      <w:r>
        <w:t xml:space="preserve">In spite of this, there is also no means of recourse for creditors other than to the challenge CVAs through the courts. This is extremely expensive and to some extent means threatening the business rescue itself. A challenge (whatever the outcome and whether or not it goes to court) will threaten the refinancing that the company has secured and will frequently involve considerable time burdens and costs that the company cannot afford. Challenging CVAs often means the challenging landlord’s reputation is dragged through the mud in the media as well. There needs to be a means through which unsecured creditors can gain confidence from an </w:t>
      </w:r>
      <w:r>
        <w:lastRenderedPageBreak/>
        <w:t xml:space="preserve">independent body that the CVA was fair (especially considering the aforementioned issues regarding transparency) without having to use the </w:t>
      </w:r>
      <w:r w:rsidR="00BA6AF6">
        <w:t xml:space="preserve">judicial system and threaten </w:t>
      </w:r>
      <w:r>
        <w:t xml:space="preserve">business recovery. </w:t>
      </w:r>
    </w:p>
    <w:p w14:paraId="1C54D756" w14:textId="070448CF" w:rsidR="00133E52" w:rsidRPr="00133E52" w:rsidRDefault="009D5F29" w:rsidP="00133E52">
      <w:pPr>
        <w:pStyle w:val="Point"/>
        <w:numPr>
          <w:ilvl w:val="0"/>
          <w:numId w:val="1"/>
        </w:numPr>
        <w:rPr>
          <w:u w:val="single"/>
        </w:rPr>
      </w:pPr>
      <w:r>
        <w:t>We suggest</w:t>
      </w:r>
      <w:r w:rsidR="00FC67FC">
        <w:t xml:space="preserve"> that </w:t>
      </w:r>
      <w:r>
        <w:t>government should immediately make it mandatory than an</w:t>
      </w:r>
      <w:r w:rsidR="00FC67FC">
        <w:t xml:space="preserve"> independent second opinion on large CVAs</w:t>
      </w:r>
      <w:r>
        <w:t xml:space="preserve"> is always sought</w:t>
      </w:r>
      <w:r w:rsidR="00FC67FC">
        <w:t>, to ensure they are being conducted fairly and are partnered with a proper restructuring. This could be a task for an existin</w:t>
      </w:r>
      <w:r>
        <w:t xml:space="preserve">g body called the Pre-Pack Pool. </w:t>
      </w:r>
      <w:r w:rsidR="00FC67FC">
        <w:t>It would not cost Government money, as the services for the Pre-Pack Pool are paid for as part of the insolvency process a</w:t>
      </w:r>
      <w:r>
        <w:t xml:space="preserve">nd it is not a Government body </w:t>
      </w:r>
      <w:r w:rsidR="00FC67FC">
        <w:t>but a group of mainly retired accountants and insolvency practitioners, who are experts</w:t>
      </w:r>
      <w:r>
        <w:t xml:space="preserve"> in picking through these deals</w:t>
      </w:r>
      <w:r w:rsidR="00FC67FC">
        <w:t xml:space="preserve">. </w:t>
      </w:r>
    </w:p>
    <w:p w14:paraId="103D744D" w14:textId="77777777" w:rsidR="00FC67FC" w:rsidRPr="00FC67FC" w:rsidRDefault="00FC67FC" w:rsidP="00FC67FC">
      <w:pPr>
        <w:pStyle w:val="Point"/>
        <w:numPr>
          <w:ilvl w:val="0"/>
          <w:numId w:val="1"/>
        </w:numPr>
      </w:pPr>
      <w:r>
        <w:t xml:space="preserve">Ultimately many of the issues mentioned already stem from a lack of legislative clarity on CVAs. </w:t>
      </w:r>
    </w:p>
    <w:p w14:paraId="20A37951" w14:textId="77777777" w:rsidR="00FC67FC" w:rsidRPr="00FC67FC" w:rsidRDefault="00FC67FC" w:rsidP="00FC67FC">
      <w:pPr>
        <w:pStyle w:val="Point"/>
        <w:numPr>
          <w:ilvl w:val="0"/>
          <w:numId w:val="1"/>
        </w:numPr>
      </w:pPr>
      <w:r>
        <w:t xml:space="preserve">Property owners are frequently left uncertain of their rights and the duties owed to them. Consequently, companies have repeatedly pushed the extent to which they seek to re-write contracts. By way of example, some CVAs now vary the terms of the lease beyond the CVA period; even, in some cases through extending rental discounts beyond termination of the CVA or by restricting landlord’s ability to utilise their regular break clauses. We also see cases where CVAs removal the company’s obligation to give an authorised guarantee agreement (AGA) on assignment; give firms a new right to terminate leases (even though this is now prohibited by contract law); trigger rent reviews at the end of the CVA (after the landlords have paid through the CVA for the turnaround); or, implement a moratorium against enforcement of tenant’s covenants and/or full and final release of tenant’s liabilities (other than CVA rent). The extent to which this should be allowed is not clarified in the legislation but needs to be in order to avoid further abuse. </w:t>
      </w:r>
    </w:p>
    <w:p w14:paraId="3A71D142" w14:textId="77777777" w:rsidR="00FC67FC" w:rsidRPr="00FC67FC" w:rsidRDefault="00FC67FC" w:rsidP="00FC67FC">
      <w:pPr>
        <w:pStyle w:val="Point"/>
        <w:numPr>
          <w:ilvl w:val="0"/>
          <w:numId w:val="1"/>
        </w:numPr>
      </w:pPr>
      <w:r>
        <w:t>In addition, we believe that CVAs are no longer being used to fulfil their initial intention and are instead increasingly being used by large firms, such as the Arcadia Group or Debenhams. The legislation makes no exceptions for these cases. It does not provide the necessary time needed to consider these larger proposals; does not restrict the unfair and often intricate ways in which these large CVAs are structured to give a competitive advantage outside of the CVA period; and, gives property owners no means of gaining confidence that CVAs have been designed in a fair or transparent manner. Furthermore, CVAs should have regard to the fundamental principle in insolvency of equality amongst creditors. The current legislation does not ensure this principle is adopted by companies proposing CVAs.</w:t>
      </w:r>
    </w:p>
    <w:p w14:paraId="038B049B" w14:textId="5902D3DB" w:rsidR="000E1B28" w:rsidRDefault="00FC67FC" w:rsidP="1161C6B1">
      <w:pPr>
        <w:pStyle w:val="Point"/>
        <w:numPr>
          <w:ilvl w:val="0"/>
          <w:numId w:val="1"/>
        </w:numPr>
      </w:pPr>
      <w:r>
        <w:t>Property owners are having to spend a substantial amount time and money challenging CVAs through the courts just to uncover what their rights and obligations truly are. This is also undermining the ability of CVAs to provide a s</w:t>
      </w:r>
      <w:r w:rsidR="000E1B28">
        <w:t xml:space="preserve">table, effective restructuring; as was reflected in research by the IP trade body R3, which suggested that </w:t>
      </w:r>
      <w:r w:rsidR="009D5F29">
        <w:t>s</w:t>
      </w:r>
      <w:r w:rsidR="000E1B28">
        <w:t>tandard CVA terms and conditions should be introduced which would improve the consistency of CVAs, reduce costs, and help build knowledge among IPs.</w:t>
      </w:r>
      <w:r w:rsidR="000E1B28" w:rsidRPr="0B52454F">
        <w:rPr>
          <w:rFonts w:eastAsia="Times New Roman"/>
        </w:rPr>
        <w:t xml:space="preserve"> </w:t>
      </w:r>
    </w:p>
    <w:p w14:paraId="5737C27C" w14:textId="5C866DBF" w:rsidR="007714AA" w:rsidRPr="00FC67FC" w:rsidRDefault="00FC67FC" w:rsidP="1161C6B1">
      <w:pPr>
        <w:pStyle w:val="Point"/>
        <w:numPr>
          <w:ilvl w:val="0"/>
          <w:numId w:val="1"/>
        </w:numPr>
      </w:pPr>
      <w:r>
        <w:t>The Government should act to clarify these points either through changes to the Insolvency Rules or a new Insolvency Act. We do not believe the necessary changes are possible through</w:t>
      </w:r>
      <w:r w:rsidR="009D5F29">
        <w:t xml:space="preserve"> reform of</w:t>
      </w:r>
      <w:r>
        <w:t xml:space="preserve"> SIP 3.2 or cross-industry collaboration. </w:t>
      </w:r>
    </w:p>
    <w:p w14:paraId="51994A58" w14:textId="3630AEC5" w:rsidR="00C233ED" w:rsidRPr="00DA2313" w:rsidRDefault="00C233ED" w:rsidP="00692106">
      <w:pPr>
        <w:rPr>
          <w:rFonts w:ascii="Calibri" w:eastAsia="Times New Roman" w:hAnsi="Calibri" w:cstheme="majorBidi"/>
          <w:bCs/>
          <w:color w:val="000000" w:themeColor="text1"/>
        </w:rPr>
      </w:pPr>
    </w:p>
    <w:sectPr w:rsidR="00C233ED" w:rsidRPr="00DA2313" w:rsidSect="003879EF">
      <w:headerReference w:type="default" r:id="rId16"/>
      <w:footerReference w:type="defaul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F606" w14:textId="77777777" w:rsidR="00A018FF" w:rsidRDefault="00A018FF" w:rsidP="00AB5592">
      <w:pPr>
        <w:spacing w:after="0" w:line="240" w:lineRule="auto"/>
      </w:pPr>
      <w:r>
        <w:separator/>
      </w:r>
    </w:p>
  </w:endnote>
  <w:endnote w:type="continuationSeparator" w:id="0">
    <w:p w14:paraId="6097B9B4" w14:textId="77777777" w:rsidR="00A018FF" w:rsidRDefault="00A018FF" w:rsidP="00AB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auto"/>
    <w:pitch w:val="variable"/>
    <w:sig w:usb0="E0000287" w:usb1="4000001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37F5" w14:textId="03DA5F17" w:rsidR="00AF12B0" w:rsidRDefault="00AF12B0">
    <w:pPr>
      <w:pStyle w:val="Footer"/>
    </w:pPr>
    <w:r w:rsidRPr="00675C03">
      <w:rPr>
        <w:noProof/>
        <w:lang w:val="en-US"/>
      </w:rPr>
      <mc:AlternateContent>
        <mc:Choice Requires="wps">
          <w:drawing>
            <wp:anchor distT="152398" distB="152398" distL="152400" distR="152400" simplePos="0" relativeHeight="251662336" behindDoc="1" locked="0" layoutInCell="1" allowOverlap="1" wp14:anchorId="6B7E95A6" wp14:editId="723FE628">
              <wp:simplePos x="0" y="0"/>
              <wp:positionH relativeFrom="page">
                <wp:posOffset>914400</wp:posOffset>
              </wp:positionH>
              <wp:positionV relativeFrom="page">
                <wp:posOffset>9963150</wp:posOffset>
              </wp:positionV>
              <wp:extent cx="607441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6350">
                        <a:solidFill>
                          <a:srgbClr val="5A5A5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E12CF" id="Line 4" o:spid="_x0000_s1026" style="position:absolute;z-index:-251654144;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1in,784.5pt" to="550.3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" strokecolor="#5a5a5a" strokeweight=".5pt">
              <w10:wrap anchorx="page" anchory="page"/>
            </v:line>
          </w:pict>
        </mc:Fallback>
      </mc:AlternateContent>
    </w:r>
    <w:r w:rsidRPr="00675C03">
      <w:rPr>
        <w:noProof/>
        <w:lang w:val="en-US"/>
      </w:rPr>
      <mc:AlternateContent>
        <mc:Choice Requires="wps">
          <w:drawing>
            <wp:anchor distT="0" distB="0" distL="114300" distR="114300" simplePos="0" relativeHeight="251663360" behindDoc="1" locked="0" layoutInCell="1" allowOverlap="1" wp14:anchorId="186D7941" wp14:editId="3AD17BAB">
              <wp:simplePos x="0" y="0"/>
              <wp:positionH relativeFrom="page">
                <wp:posOffset>914400</wp:posOffset>
              </wp:positionH>
              <wp:positionV relativeFrom="page">
                <wp:posOffset>10243185</wp:posOffset>
              </wp:positionV>
              <wp:extent cx="4817745" cy="290830"/>
              <wp:effectExtent l="0" t="0" r="0" b="0"/>
              <wp:wrapTight wrapText="bothSides">
                <wp:wrapPolygon edited="0">
                  <wp:start x="0" y="0"/>
                  <wp:lineTo x="0" y="21223"/>
                  <wp:lineTo x="21523" y="21223"/>
                  <wp:lineTo x="21523"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2908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07E48B" w14:textId="77777777" w:rsidR="00AF12B0" w:rsidRPr="00327DC6" w:rsidRDefault="00AF12B0" w:rsidP="00675C03">
                          <w:pPr>
                            <w:pStyle w:val="Body"/>
                            <w:rPr>
                              <w:b/>
                              <w:color w:val="595959" w:themeColor="text1" w:themeTint="A6"/>
                            </w:rPr>
                          </w:pPr>
                          <w:r w:rsidRPr="00327DC6">
                            <w:rPr>
                              <w:b/>
                              <w:color w:val="595959" w:themeColor="text1" w:themeTint="A6"/>
                            </w:rPr>
                            <w:t>WE HELP THE UK REAL ESTATE INDUSTRY GROW AND THRIVE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D7941" id="_x0000_t202" coordsize="21600,21600" o:spt="202" path="m,l,21600r21600,l21600,xe">
              <v:stroke joinstyle="miter"/>
              <v:path gradientshapeok="t" o:connecttype="rect"/>
            </v:shapetype>
            <v:shape id="Text Box 7" o:spid="_x0000_s1027" type="#_x0000_t202" style="position:absolute;margin-left:1in;margin-top:806.55pt;width:379.35pt;height:22.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" filled="f" stroked="f">
              <v:textbox inset="0,0,0,0">
                <w:txbxContent>
                  <w:p w14:paraId="7407E48B" w14:textId="77777777" w:rsidR="00AF12B0" w:rsidRPr="00327DC6" w:rsidRDefault="00AF12B0" w:rsidP="00675C03">
                    <w:pPr>
                      <w:pStyle w:val="Body"/>
                      <w:rPr>
                        <w:b/>
                        <w:color w:val="595959" w:themeColor="text1" w:themeTint="A6"/>
                      </w:rPr>
                    </w:pPr>
                    <w:r w:rsidRPr="00327DC6">
                      <w:rPr>
                        <w:b/>
                        <w:color w:val="595959" w:themeColor="text1" w:themeTint="A6"/>
                      </w:rPr>
                      <w:t>WE HELP THE UK REAL ESTATE INDUSTRY GROW AND THRIVE</w:t>
                    </w: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1E12" w14:textId="77777777" w:rsidR="00A018FF" w:rsidRDefault="00A018FF" w:rsidP="00AB5592">
      <w:pPr>
        <w:spacing w:after="0" w:line="240" w:lineRule="auto"/>
      </w:pPr>
      <w:r>
        <w:separator/>
      </w:r>
    </w:p>
  </w:footnote>
  <w:footnote w:type="continuationSeparator" w:id="0">
    <w:p w14:paraId="41A07513" w14:textId="77777777" w:rsidR="00A018FF" w:rsidRDefault="00A018FF" w:rsidP="00AB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19B2" w14:textId="77777777" w:rsidR="00AF12B0" w:rsidRDefault="00AF12B0" w:rsidP="00D75B72">
    <w:pPr>
      <w:pStyle w:val="Header"/>
      <w:tabs>
        <w:tab w:val="left" w:pos="1077"/>
      </w:tabs>
    </w:pPr>
    <w:r>
      <w:rPr>
        <w:noProof/>
        <w:lang w:val="en-US"/>
      </w:rPr>
      <mc:AlternateContent>
        <mc:Choice Requires="wps">
          <w:drawing>
            <wp:anchor distT="0" distB="0" distL="114300" distR="114300" simplePos="0" relativeHeight="251660288" behindDoc="1" locked="0" layoutInCell="1" allowOverlap="1" wp14:anchorId="23AC2B24" wp14:editId="39198494">
              <wp:simplePos x="0" y="0"/>
              <wp:positionH relativeFrom="page">
                <wp:posOffset>720090</wp:posOffset>
              </wp:positionH>
              <wp:positionV relativeFrom="paragraph">
                <wp:posOffset>234950</wp:posOffset>
              </wp:positionV>
              <wp:extent cx="4817745" cy="689610"/>
              <wp:effectExtent l="0" t="0" r="0" b="0"/>
              <wp:wrapTight wrapText="bothSides">
                <wp:wrapPolygon edited="0">
                  <wp:start x="0" y="0"/>
                  <wp:lineTo x="0" y="21481"/>
                  <wp:lineTo x="21523" y="21481"/>
                  <wp:lineTo x="21523" y="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689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F1C7E3" w14:textId="38FFB877" w:rsidR="00AF12B0" w:rsidRPr="00D873B0" w:rsidRDefault="00AF12B0" w:rsidP="00D75B72">
                          <w:pPr>
                            <w:pStyle w:val="Body"/>
                            <w:spacing w:line="120" w:lineRule="atLeast"/>
                            <w:rPr>
                              <w:b/>
                              <w:sz w:val="30"/>
                              <w:szCs w:val="30"/>
                              <w:lang w:val="en-US"/>
                            </w:rPr>
                          </w:pPr>
                          <w:r w:rsidRPr="00B53E18">
                            <w:rPr>
                              <w:b/>
                              <w:sz w:val="38"/>
                              <w:lang w:val="en-US"/>
                            </w:rPr>
                            <w:t>C</w:t>
                          </w:r>
                          <w:r>
                            <w:rPr>
                              <w:b/>
                              <w:sz w:val="38"/>
                              <w:lang w:val="en-US"/>
                            </w:rPr>
                            <w:t xml:space="preserve">ompany </w:t>
                          </w:r>
                          <w:r w:rsidRPr="00B53E18">
                            <w:rPr>
                              <w:b/>
                              <w:sz w:val="38"/>
                              <w:lang w:val="en-US"/>
                            </w:rPr>
                            <w:t>V</w:t>
                          </w:r>
                          <w:r>
                            <w:rPr>
                              <w:b/>
                              <w:sz w:val="38"/>
                              <w:lang w:val="en-US"/>
                            </w:rPr>
                            <w:t xml:space="preserve">oluntary </w:t>
                          </w:r>
                          <w:r w:rsidRPr="00B53E18">
                            <w:rPr>
                              <w:b/>
                              <w:sz w:val="38"/>
                              <w:lang w:val="en-US"/>
                            </w:rPr>
                            <w:t>A</w:t>
                          </w:r>
                          <w:r>
                            <w:rPr>
                              <w:b/>
                              <w:sz w:val="38"/>
                              <w:lang w:val="en-US"/>
                            </w:rPr>
                            <w:t xml:space="preserve">rrangement (CVA) briefing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C2B24" id="_x0000_t202" coordsize="21600,21600" o:spt="202" path="m,l,21600r21600,l21600,xe">
              <v:stroke joinstyle="miter"/>
              <v:path gradientshapeok="t" o:connecttype="rect"/>
            </v:shapetype>
            <v:shape id="Text Box 6" o:spid="_x0000_s1026" type="#_x0000_t202" style="position:absolute;margin-left:56.7pt;margin-top:18.5pt;width:379.35pt;height:5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" filled="f" stroked="f">
              <v:textbox inset="0,0,0,0">
                <w:txbxContent>
                  <w:p w14:paraId="6DF1C7E3" w14:textId="38FFB877" w:rsidR="00AF12B0" w:rsidRPr="00D873B0" w:rsidRDefault="00AF12B0" w:rsidP="00D75B72">
                    <w:pPr>
                      <w:pStyle w:val="Body"/>
                      <w:spacing w:line="120" w:lineRule="atLeast"/>
                      <w:rPr>
                        <w:b/>
                        <w:sz w:val="30"/>
                        <w:szCs w:val="30"/>
                        <w:lang w:val="en-US"/>
                      </w:rPr>
                    </w:pPr>
                    <w:r w:rsidRPr="00B53E18">
                      <w:rPr>
                        <w:b/>
                        <w:sz w:val="38"/>
                        <w:lang w:val="en-US"/>
                      </w:rPr>
                      <w:t>C</w:t>
                    </w:r>
                    <w:r>
                      <w:rPr>
                        <w:b/>
                        <w:sz w:val="38"/>
                        <w:lang w:val="en-US"/>
                      </w:rPr>
                      <w:t xml:space="preserve">ompany </w:t>
                    </w:r>
                    <w:r w:rsidRPr="00B53E18">
                      <w:rPr>
                        <w:b/>
                        <w:sz w:val="38"/>
                        <w:lang w:val="en-US"/>
                      </w:rPr>
                      <w:t>V</w:t>
                    </w:r>
                    <w:r>
                      <w:rPr>
                        <w:b/>
                        <w:sz w:val="38"/>
                        <w:lang w:val="en-US"/>
                      </w:rPr>
                      <w:t xml:space="preserve">oluntary </w:t>
                    </w:r>
                    <w:r w:rsidRPr="00B53E18">
                      <w:rPr>
                        <w:b/>
                        <w:sz w:val="38"/>
                        <w:lang w:val="en-US"/>
                      </w:rPr>
                      <w:t>A</w:t>
                    </w:r>
                    <w:r>
                      <w:rPr>
                        <w:b/>
                        <w:sz w:val="38"/>
                        <w:lang w:val="en-US"/>
                      </w:rPr>
                      <w:t xml:space="preserve">rrangement (CVA) briefing </w:t>
                    </w:r>
                  </w:p>
                </w:txbxContent>
              </v:textbox>
              <w10:wrap type="tight" anchorx="page"/>
            </v:shape>
          </w:pict>
        </mc:Fallback>
      </mc:AlternateContent>
    </w:r>
    <w:r>
      <w:tab/>
    </w:r>
    <w:r>
      <w:tab/>
    </w:r>
    <w:r>
      <w:tab/>
    </w:r>
  </w:p>
  <w:p w14:paraId="4076C63D" w14:textId="77777777" w:rsidR="00AF12B0" w:rsidRDefault="00AF12B0" w:rsidP="00D75B72">
    <w:pPr>
      <w:pStyle w:val="Header"/>
      <w:tabs>
        <w:tab w:val="left" w:pos="1077"/>
      </w:tabs>
    </w:pPr>
  </w:p>
  <w:p w14:paraId="279FDD64" w14:textId="77777777" w:rsidR="00AF12B0" w:rsidRDefault="00AF12B0" w:rsidP="00D75B72">
    <w:pPr>
      <w:pStyle w:val="Header"/>
      <w:tabs>
        <w:tab w:val="left" w:pos="1077"/>
      </w:tabs>
    </w:pPr>
  </w:p>
  <w:p w14:paraId="3AFD06E4" w14:textId="77777777" w:rsidR="00AF12B0" w:rsidRDefault="00AF12B0" w:rsidP="00D75B72">
    <w:pPr>
      <w:pStyle w:val="Header"/>
      <w:tabs>
        <w:tab w:val="left" w:pos="1077"/>
      </w:tabs>
    </w:pPr>
  </w:p>
  <w:p w14:paraId="17FE3033" w14:textId="77777777" w:rsidR="00AF12B0" w:rsidRDefault="00AF12B0" w:rsidP="00D75B72">
    <w:pPr>
      <w:pStyle w:val="Header"/>
      <w:tabs>
        <w:tab w:val="left" w:pos="1077"/>
      </w:tabs>
    </w:pPr>
  </w:p>
  <w:p w14:paraId="68AFD149" w14:textId="1BB66CC0" w:rsidR="00AF12B0" w:rsidRDefault="00AF12B0" w:rsidP="00D75B72">
    <w:pPr>
      <w:pStyle w:val="Header"/>
      <w:tabs>
        <w:tab w:val="left" w:pos="1077"/>
      </w:tabs>
    </w:pPr>
    <w:r>
      <w:tab/>
    </w:r>
    <w:r>
      <w:rPr>
        <w:noProof/>
        <w:lang w:val="en-US"/>
      </w:rPr>
      <w:drawing>
        <wp:anchor distT="0" distB="0" distL="114300" distR="114300" simplePos="0" relativeHeight="251658240" behindDoc="1" locked="0" layoutInCell="1" allowOverlap="1" wp14:anchorId="188AFCE2" wp14:editId="77228B35">
          <wp:simplePos x="0" y="0"/>
          <wp:positionH relativeFrom="column">
            <wp:posOffset>4572000</wp:posOffset>
          </wp:positionH>
          <wp:positionV relativeFrom="page">
            <wp:posOffset>457200</wp:posOffset>
          </wp:positionV>
          <wp:extent cx="1153160" cy="772160"/>
          <wp:effectExtent l="0" t="0" r="8890" b="8890"/>
          <wp:wrapTopAndBottom/>
          <wp:docPr id="5" name="officeArt object" descr="BPF_logo_RGB.jpg"/>
          <wp:cNvGraphicFramePr/>
          <a:graphic xmlns:a="http://schemas.openxmlformats.org/drawingml/2006/main">
            <a:graphicData uri="http://schemas.openxmlformats.org/drawingml/2006/picture">
              <pic:pic xmlns:pic="http://schemas.openxmlformats.org/drawingml/2006/picture">
                <pic:nvPicPr>
                  <pic:cNvPr id="1073741825" name="image1.jpg" descr="BPF_logo_RGB.jpg"/>
                  <pic:cNvPicPr/>
                </pic:nvPicPr>
                <pic:blipFill>
                  <a:blip r:embed="rId1">
                    <a:extLst>
                      <a:ext uri="{28A0092B-C50C-407E-A947-70E740481C1C}">
                        <a14:useLocalDpi xmlns:a14="http://schemas.microsoft.com/office/drawing/2010/main" val="0"/>
                      </a:ext>
                    </a:extLst>
                  </a:blip>
                  <a:stretch>
                    <a:fillRect/>
                  </a:stretch>
                </pic:blipFill>
                <pic:spPr>
                  <a:xfrm>
                    <a:off x="0" y="0"/>
                    <a:ext cx="1153160" cy="7721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6AEB"/>
    <w:multiLevelType w:val="hybridMultilevel"/>
    <w:tmpl w:val="FED0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01D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DE05EC"/>
    <w:multiLevelType w:val="multilevel"/>
    <w:tmpl w:val="43D4713E"/>
    <w:lvl w:ilvl="0">
      <w:start w:val="1"/>
      <w:numFmt w:val="decimal"/>
      <w:lvlText w:val="%1."/>
      <w:lvlJc w:val="left"/>
      <w:pPr>
        <w:ind w:left="397" w:hanging="397"/>
      </w:pPr>
      <w:rPr>
        <w:rFonts w:hint="default"/>
        <w:i w:val="0"/>
      </w:rPr>
    </w:lvl>
    <w:lvl w:ilvl="1">
      <w:start w:val="1"/>
      <w:numFmt w:val="decimal"/>
      <w:lvlText w:val="%1.%2."/>
      <w:lvlJc w:val="left"/>
      <w:pPr>
        <w:ind w:left="794" w:hanging="397"/>
      </w:pPr>
      <w:rPr>
        <w:rFonts w:hint="default"/>
        <w:b w:val="0"/>
        <w:color w:val="auto"/>
      </w:rPr>
    </w:lvl>
    <w:lvl w:ilvl="2">
      <w:start w:val="1"/>
      <w:numFmt w:val="decimal"/>
      <w:lvlText w:val="%1.%2.%3."/>
      <w:lvlJc w:val="left"/>
      <w:pPr>
        <w:ind w:left="2528" w:hanging="504"/>
      </w:pPr>
      <w:rPr>
        <w:rFonts w:hint="default"/>
      </w:rPr>
    </w:lvl>
    <w:lvl w:ilvl="3">
      <w:start w:val="1"/>
      <w:numFmt w:val="decimal"/>
      <w:lvlText w:val="%1.%2.%3.%4."/>
      <w:lvlJc w:val="left"/>
      <w:pPr>
        <w:ind w:left="3119" w:hanging="735"/>
      </w:pPr>
      <w:rPr>
        <w:rFonts w:hint="default"/>
      </w:rPr>
    </w:lvl>
    <w:lvl w:ilvl="4">
      <w:start w:val="1"/>
      <w:numFmt w:val="decimal"/>
      <w:lvlText w:val="%1.%2.%3.%4.%5."/>
      <w:lvlJc w:val="left"/>
      <w:pPr>
        <w:ind w:left="3686" w:hanging="942"/>
      </w:pPr>
      <w:rPr>
        <w:rFonts w:hint="default"/>
      </w:rPr>
    </w:lvl>
    <w:lvl w:ilvl="5">
      <w:start w:val="1"/>
      <w:numFmt w:val="decimal"/>
      <w:lvlText w:val="%1.%2.%3.%4.%5.%6."/>
      <w:lvlJc w:val="left"/>
      <w:pPr>
        <w:ind w:left="3856" w:hanging="752"/>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3" w15:restartNumberingAfterBreak="0">
    <w:nsid w:val="3F2236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B90E65"/>
    <w:multiLevelType w:val="hybridMultilevel"/>
    <w:tmpl w:val="CD62B1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751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8A308E"/>
    <w:multiLevelType w:val="multilevel"/>
    <w:tmpl w:val="6A140A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A22790"/>
    <w:multiLevelType w:val="multilevel"/>
    <w:tmpl w:val="6A140A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795BC7"/>
    <w:multiLevelType w:val="hybridMultilevel"/>
    <w:tmpl w:val="78CA4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4"/>
  </w:num>
  <w:num w:numId="6">
    <w:abstractNumId w:val="1"/>
  </w:num>
  <w:num w:numId="7">
    <w:abstractNumId w:val="2"/>
  </w:num>
  <w:num w:numId="8">
    <w:abstractNumId w:val="0"/>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xNjQysTQ1MjM2MTBU0lEKTi0uzszPAykwMqkFAAb3JkstAAAA"/>
    <w:docVar w:name="PIM_Brand" w:val="D9"/>
  </w:docVars>
  <w:rsids>
    <w:rsidRoot w:val="00E60E3C"/>
    <w:rsid w:val="00011408"/>
    <w:rsid w:val="0001567D"/>
    <w:rsid w:val="00017F56"/>
    <w:rsid w:val="000204CB"/>
    <w:rsid w:val="00020A6B"/>
    <w:rsid w:val="00030413"/>
    <w:rsid w:val="00031933"/>
    <w:rsid w:val="00034F0F"/>
    <w:rsid w:val="00041F7F"/>
    <w:rsid w:val="0004558E"/>
    <w:rsid w:val="0004581F"/>
    <w:rsid w:val="00046EDE"/>
    <w:rsid w:val="00053780"/>
    <w:rsid w:val="00057950"/>
    <w:rsid w:val="00066DB2"/>
    <w:rsid w:val="000778A9"/>
    <w:rsid w:val="000779C0"/>
    <w:rsid w:val="00080225"/>
    <w:rsid w:val="000812F9"/>
    <w:rsid w:val="000906B5"/>
    <w:rsid w:val="000909C6"/>
    <w:rsid w:val="00091C99"/>
    <w:rsid w:val="00095C38"/>
    <w:rsid w:val="00095C7C"/>
    <w:rsid w:val="000A0127"/>
    <w:rsid w:val="000A7A49"/>
    <w:rsid w:val="000B2646"/>
    <w:rsid w:val="000B53D3"/>
    <w:rsid w:val="000B5495"/>
    <w:rsid w:val="000B71F5"/>
    <w:rsid w:val="000B7DE8"/>
    <w:rsid w:val="000D65B8"/>
    <w:rsid w:val="000E0B3F"/>
    <w:rsid w:val="000E1B28"/>
    <w:rsid w:val="000E3D2F"/>
    <w:rsid w:val="000E63E1"/>
    <w:rsid w:val="000E658D"/>
    <w:rsid w:val="000F020A"/>
    <w:rsid w:val="001030CA"/>
    <w:rsid w:val="00111D12"/>
    <w:rsid w:val="00113CE5"/>
    <w:rsid w:val="00117EEE"/>
    <w:rsid w:val="001222F3"/>
    <w:rsid w:val="0012636F"/>
    <w:rsid w:val="00130877"/>
    <w:rsid w:val="00130ECF"/>
    <w:rsid w:val="00133E52"/>
    <w:rsid w:val="00141C91"/>
    <w:rsid w:val="00157F23"/>
    <w:rsid w:val="00160697"/>
    <w:rsid w:val="00161CC0"/>
    <w:rsid w:val="00172854"/>
    <w:rsid w:val="00172D91"/>
    <w:rsid w:val="00173CFB"/>
    <w:rsid w:val="0018066E"/>
    <w:rsid w:val="00182DB8"/>
    <w:rsid w:val="001A164F"/>
    <w:rsid w:val="001A43B3"/>
    <w:rsid w:val="001B0728"/>
    <w:rsid w:val="001B4D18"/>
    <w:rsid w:val="001B6964"/>
    <w:rsid w:val="001C5DEE"/>
    <w:rsid w:val="001C72A1"/>
    <w:rsid w:val="001D20D4"/>
    <w:rsid w:val="001D32BB"/>
    <w:rsid w:val="001D765C"/>
    <w:rsid w:val="001E0BB0"/>
    <w:rsid w:val="001E0DAB"/>
    <w:rsid w:val="001E3E2A"/>
    <w:rsid w:val="001E65F1"/>
    <w:rsid w:val="001F389A"/>
    <w:rsid w:val="001F406F"/>
    <w:rsid w:val="001F4E76"/>
    <w:rsid w:val="00205424"/>
    <w:rsid w:val="00205F9F"/>
    <w:rsid w:val="00210DBC"/>
    <w:rsid w:val="0021471E"/>
    <w:rsid w:val="00214CCC"/>
    <w:rsid w:val="00217650"/>
    <w:rsid w:val="00220E3E"/>
    <w:rsid w:val="002224C3"/>
    <w:rsid w:val="002254BD"/>
    <w:rsid w:val="00227980"/>
    <w:rsid w:val="00233F0E"/>
    <w:rsid w:val="00242294"/>
    <w:rsid w:val="00243B5D"/>
    <w:rsid w:val="00247961"/>
    <w:rsid w:val="00262898"/>
    <w:rsid w:val="00264120"/>
    <w:rsid w:val="00265C05"/>
    <w:rsid w:val="0026662D"/>
    <w:rsid w:val="00275E25"/>
    <w:rsid w:val="002802C2"/>
    <w:rsid w:val="00284CBE"/>
    <w:rsid w:val="002853C1"/>
    <w:rsid w:val="002858F0"/>
    <w:rsid w:val="0029008C"/>
    <w:rsid w:val="00291062"/>
    <w:rsid w:val="002A1805"/>
    <w:rsid w:val="002A2A4E"/>
    <w:rsid w:val="002A3295"/>
    <w:rsid w:val="002B2E65"/>
    <w:rsid w:val="002B4A00"/>
    <w:rsid w:val="002B568B"/>
    <w:rsid w:val="002B6948"/>
    <w:rsid w:val="002C0672"/>
    <w:rsid w:val="002C2A40"/>
    <w:rsid w:val="002C659D"/>
    <w:rsid w:val="002D63F6"/>
    <w:rsid w:val="002D6669"/>
    <w:rsid w:val="002E1818"/>
    <w:rsid w:val="002E3072"/>
    <w:rsid w:val="002F4593"/>
    <w:rsid w:val="002F7620"/>
    <w:rsid w:val="002F78AC"/>
    <w:rsid w:val="002F79E8"/>
    <w:rsid w:val="00301D3B"/>
    <w:rsid w:val="0030607C"/>
    <w:rsid w:val="0030773D"/>
    <w:rsid w:val="00311F32"/>
    <w:rsid w:val="00314441"/>
    <w:rsid w:val="0031594A"/>
    <w:rsid w:val="00321666"/>
    <w:rsid w:val="003253B7"/>
    <w:rsid w:val="00326C63"/>
    <w:rsid w:val="00327A7A"/>
    <w:rsid w:val="00333C3A"/>
    <w:rsid w:val="00335B62"/>
    <w:rsid w:val="00336C94"/>
    <w:rsid w:val="00337E8B"/>
    <w:rsid w:val="003456CD"/>
    <w:rsid w:val="00345C4F"/>
    <w:rsid w:val="00347B11"/>
    <w:rsid w:val="003508C6"/>
    <w:rsid w:val="003541DC"/>
    <w:rsid w:val="00360A86"/>
    <w:rsid w:val="00360BD8"/>
    <w:rsid w:val="00367A22"/>
    <w:rsid w:val="0038705E"/>
    <w:rsid w:val="003879EF"/>
    <w:rsid w:val="00391512"/>
    <w:rsid w:val="003915A8"/>
    <w:rsid w:val="003A048F"/>
    <w:rsid w:val="003A15B8"/>
    <w:rsid w:val="003A241A"/>
    <w:rsid w:val="003A2695"/>
    <w:rsid w:val="003A2C98"/>
    <w:rsid w:val="003A3904"/>
    <w:rsid w:val="003A45C6"/>
    <w:rsid w:val="003B7373"/>
    <w:rsid w:val="003C06FE"/>
    <w:rsid w:val="003C153A"/>
    <w:rsid w:val="003C1ECA"/>
    <w:rsid w:val="003C381B"/>
    <w:rsid w:val="003C3BE7"/>
    <w:rsid w:val="003C4003"/>
    <w:rsid w:val="003C40FD"/>
    <w:rsid w:val="003C56A2"/>
    <w:rsid w:val="003D35BD"/>
    <w:rsid w:val="003D6AD1"/>
    <w:rsid w:val="003E609E"/>
    <w:rsid w:val="003E6A18"/>
    <w:rsid w:val="003F613B"/>
    <w:rsid w:val="00401D31"/>
    <w:rsid w:val="0040227E"/>
    <w:rsid w:val="00403ABA"/>
    <w:rsid w:val="004132C2"/>
    <w:rsid w:val="00414B8D"/>
    <w:rsid w:val="0042680E"/>
    <w:rsid w:val="004270A5"/>
    <w:rsid w:val="00431516"/>
    <w:rsid w:val="00431C1D"/>
    <w:rsid w:val="00433B0C"/>
    <w:rsid w:val="00434867"/>
    <w:rsid w:val="0043583C"/>
    <w:rsid w:val="0043643A"/>
    <w:rsid w:val="00443F59"/>
    <w:rsid w:val="0044481E"/>
    <w:rsid w:val="00445C5E"/>
    <w:rsid w:val="00456BD1"/>
    <w:rsid w:val="004600F5"/>
    <w:rsid w:val="00461616"/>
    <w:rsid w:val="004647EA"/>
    <w:rsid w:val="00465B42"/>
    <w:rsid w:val="00467987"/>
    <w:rsid w:val="00475F88"/>
    <w:rsid w:val="004855A7"/>
    <w:rsid w:val="0049512E"/>
    <w:rsid w:val="00495F0E"/>
    <w:rsid w:val="004A0224"/>
    <w:rsid w:val="004A22F4"/>
    <w:rsid w:val="004B0301"/>
    <w:rsid w:val="004B3B14"/>
    <w:rsid w:val="004C00F3"/>
    <w:rsid w:val="004C1D13"/>
    <w:rsid w:val="004C3DE1"/>
    <w:rsid w:val="004C5338"/>
    <w:rsid w:val="004D017B"/>
    <w:rsid w:val="004D3215"/>
    <w:rsid w:val="004D60EF"/>
    <w:rsid w:val="004F0E2C"/>
    <w:rsid w:val="004F0E56"/>
    <w:rsid w:val="004F2575"/>
    <w:rsid w:val="004F4D52"/>
    <w:rsid w:val="00514FE5"/>
    <w:rsid w:val="00517650"/>
    <w:rsid w:val="00521D41"/>
    <w:rsid w:val="00522E4F"/>
    <w:rsid w:val="00530F40"/>
    <w:rsid w:val="005328A1"/>
    <w:rsid w:val="00546EC3"/>
    <w:rsid w:val="00550ADE"/>
    <w:rsid w:val="005529C6"/>
    <w:rsid w:val="00553A4B"/>
    <w:rsid w:val="00554C06"/>
    <w:rsid w:val="005643A8"/>
    <w:rsid w:val="005659D7"/>
    <w:rsid w:val="0057466E"/>
    <w:rsid w:val="00576888"/>
    <w:rsid w:val="00580E84"/>
    <w:rsid w:val="00584FB6"/>
    <w:rsid w:val="005913AC"/>
    <w:rsid w:val="00595648"/>
    <w:rsid w:val="005A1A12"/>
    <w:rsid w:val="005A7DD8"/>
    <w:rsid w:val="005B214A"/>
    <w:rsid w:val="005B63A4"/>
    <w:rsid w:val="005C2891"/>
    <w:rsid w:val="005D33B7"/>
    <w:rsid w:val="005D6AFC"/>
    <w:rsid w:val="005D7780"/>
    <w:rsid w:val="005F2B52"/>
    <w:rsid w:val="005F3499"/>
    <w:rsid w:val="005F4B57"/>
    <w:rsid w:val="00605714"/>
    <w:rsid w:val="00617714"/>
    <w:rsid w:val="00617E14"/>
    <w:rsid w:val="00622281"/>
    <w:rsid w:val="00622564"/>
    <w:rsid w:val="00624482"/>
    <w:rsid w:val="00626341"/>
    <w:rsid w:val="00636E2C"/>
    <w:rsid w:val="00644FB0"/>
    <w:rsid w:val="00645030"/>
    <w:rsid w:val="00645662"/>
    <w:rsid w:val="006474C3"/>
    <w:rsid w:val="00647DBE"/>
    <w:rsid w:val="006542E5"/>
    <w:rsid w:val="00655F17"/>
    <w:rsid w:val="00661C77"/>
    <w:rsid w:val="00661CEE"/>
    <w:rsid w:val="00661E86"/>
    <w:rsid w:val="00667551"/>
    <w:rsid w:val="006705E5"/>
    <w:rsid w:val="00675C03"/>
    <w:rsid w:val="00683811"/>
    <w:rsid w:val="006909E6"/>
    <w:rsid w:val="00692106"/>
    <w:rsid w:val="00694558"/>
    <w:rsid w:val="006A0C9B"/>
    <w:rsid w:val="006A2180"/>
    <w:rsid w:val="006A4645"/>
    <w:rsid w:val="006B6000"/>
    <w:rsid w:val="006B6120"/>
    <w:rsid w:val="006B7A61"/>
    <w:rsid w:val="006C28FB"/>
    <w:rsid w:val="006C797B"/>
    <w:rsid w:val="006D1001"/>
    <w:rsid w:val="006D10F5"/>
    <w:rsid w:val="006D13C0"/>
    <w:rsid w:val="006D6524"/>
    <w:rsid w:val="006D766B"/>
    <w:rsid w:val="006E5614"/>
    <w:rsid w:val="006F59B4"/>
    <w:rsid w:val="006F6B11"/>
    <w:rsid w:val="00700B43"/>
    <w:rsid w:val="00712B5C"/>
    <w:rsid w:val="00713763"/>
    <w:rsid w:val="0071590A"/>
    <w:rsid w:val="0074232D"/>
    <w:rsid w:val="00750ADE"/>
    <w:rsid w:val="00750C76"/>
    <w:rsid w:val="007608E0"/>
    <w:rsid w:val="00766CA2"/>
    <w:rsid w:val="007708C8"/>
    <w:rsid w:val="007714AA"/>
    <w:rsid w:val="007738E2"/>
    <w:rsid w:val="00773A8C"/>
    <w:rsid w:val="00774BF2"/>
    <w:rsid w:val="007761DF"/>
    <w:rsid w:val="0079137B"/>
    <w:rsid w:val="00794D59"/>
    <w:rsid w:val="00797104"/>
    <w:rsid w:val="007A0CE4"/>
    <w:rsid w:val="007A318D"/>
    <w:rsid w:val="007A66E5"/>
    <w:rsid w:val="007A7648"/>
    <w:rsid w:val="007A7833"/>
    <w:rsid w:val="007A7A78"/>
    <w:rsid w:val="007A7B31"/>
    <w:rsid w:val="007A7C3E"/>
    <w:rsid w:val="007B1F1A"/>
    <w:rsid w:val="007B347A"/>
    <w:rsid w:val="007B3A32"/>
    <w:rsid w:val="007B7D31"/>
    <w:rsid w:val="007C5380"/>
    <w:rsid w:val="007C7C47"/>
    <w:rsid w:val="007D4D19"/>
    <w:rsid w:val="007D5B47"/>
    <w:rsid w:val="007F1AF6"/>
    <w:rsid w:val="007F2372"/>
    <w:rsid w:val="007F2436"/>
    <w:rsid w:val="007F4CA2"/>
    <w:rsid w:val="008022B5"/>
    <w:rsid w:val="00805901"/>
    <w:rsid w:val="00806721"/>
    <w:rsid w:val="008222BD"/>
    <w:rsid w:val="00824FB0"/>
    <w:rsid w:val="00825F56"/>
    <w:rsid w:val="008272F6"/>
    <w:rsid w:val="008379C3"/>
    <w:rsid w:val="00841292"/>
    <w:rsid w:val="00844F80"/>
    <w:rsid w:val="00845412"/>
    <w:rsid w:val="00857A79"/>
    <w:rsid w:val="00865CED"/>
    <w:rsid w:val="00870D11"/>
    <w:rsid w:val="0087159F"/>
    <w:rsid w:val="0087167C"/>
    <w:rsid w:val="00871EB5"/>
    <w:rsid w:val="00872968"/>
    <w:rsid w:val="00872994"/>
    <w:rsid w:val="008836F6"/>
    <w:rsid w:val="00890AFA"/>
    <w:rsid w:val="00897765"/>
    <w:rsid w:val="008A0C76"/>
    <w:rsid w:val="008A5C80"/>
    <w:rsid w:val="008B06AF"/>
    <w:rsid w:val="008B1439"/>
    <w:rsid w:val="008B5132"/>
    <w:rsid w:val="008C1A5A"/>
    <w:rsid w:val="008C38FF"/>
    <w:rsid w:val="008C661B"/>
    <w:rsid w:val="008D38F2"/>
    <w:rsid w:val="008D5A8B"/>
    <w:rsid w:val="008E25DF"/>
    <w:rsid w:val="008E29CD"/>
    <w:rsid w:val="008E2A0C"/>
    <w:rsid w:val="009012AE"/>
    <w:rsid w:val="0090269F"/>
    <w:rsid w:val="00905E33"/>
    <w:rsid w:val="00907008"/>
    <w:rsid w:val="00911C78"/>
    <w:rsid w:val="009120D0"/>
    <w:rsid w:val="009122F7"/>
    <w:rsid w:val="0091264E"/>
    <w:rsid w:val="00916657"/>
    <w:rsid w:val="0092771C"/>
    <w:rsid w:val="00930A3F"/>
    <w:rsid w:val="00931A95"/>
    <w:rsid w:val="00932EC8"/>
    <w:rsid w:val="0094039A"/>
    <w:rsid w:val="00940C9E"/>
    <w:rsid w:val="009468B7"/>
    <w:rsid w:val="009522E6"/>
    <w:rsid w:val="009559F3"/>
    <w:rsid w:val="00962B6B"/>
    <w:rsid w:val="00967F9E"/>
    <w:rsid w:val="0097230B"/>
    <w:rsid w:val="00973D51"/>
    <w:rsid w:val="00980003"/>
    <w:rsid w:val="00980662"/>
    <w:rsid w:val="00983D80"/>
    <w:rsid w:val="009903D6"/>
    <w:rsid w:val="009916FE"/>
    <w:rsid w:val="0099280F"/>
    <w:rsid w:val="0099439A"/>
    <w:rsid w:val="00995D66"/>
    <w:rsid w:val="009A4956"/>
    <w:rsid w:val="009A5CBD"/>
    <w:rsid w:val="009B5603"/>
    <w:rsid w:val="009C10E1"/>
    <w:rsid w:val="009C306F"/>
    <w:rsid w:val="009D5F29"/>
    <w:rsid w:val="009D655E"/>
    <w:rsid w:val="009E0143"/>
    <w:rsid w:val="009E5FD3"/>
    <w:rsid w:val="009E661E"/>
    <w:rsid w:val="00A018FF"/>
    <w:rsid w:val="00A12FAB"/>
    <w:rsid w:val="00A14AEB"/>
    <w:rsid w:val="00A17988"/>
    <w:rsid w:val="00A2196C"/>
    <w:rsid w:val="00A23E9C"/>
    <w:rsid w:val="00A268AC"/>
    <w:rsid w:val="00A27389"/>
    <w:rsid w:val="00A344B8"/>
    <w:rsid w:val="00A372CC"/>
    <w:rsid w:val="00A41852"/>
    <w:rsid w:val="00A42D54"/>
    <w:rsid w:val="00A5016B"/>
    <w:rsid w:val="00A503BE"/>
    <w:rsid w:val="00A524D7"/>
    <w:rsid w:val="00A52939"/>
    <w:rsid w:val="00A574B7"/>
    <w:rsid w:val="00A615C6"/>
    <w:rsid w:val="00A64DBA"/>
    <w:rsid w:val="00A652F5"/>
    <w:rsid w:val="00A701FD"/>
    <w:rsid w:val="00A71E3B"/>
    <w:rsid w:val="00A728E2"/>
    <w:rsid w:val="00A76D8C"/>
    <w:rsid w:val="00A770F9"/>
    <w:rsid w:val="00A7756D"/>
    <w:rsid w:val="00A83007"/>
    <w:rsid w:val="00A857A8"/>
    <w:rsid w:val="00A928F8"/>
    <w:rsid w:val="00AA0A07"/>
    <w:rsid w:val="00AA30AF"/>
    <w:rsid w:val="00AA41B1"/>
    <w:rsid w:val="00AA5BA2"/>
    <w:rsid w:val="00AA7609"/>
    <w:rsid w:val="00AB5592"/>
    <w:rsid w:val="00AB691C"/>
    <w:rsid w:val="00AC00F3"/>
    <w:rsid w:val="00AC4076"/>
    <w:rsid w:val="00AC63AE"/>
    <w:rsid w:val="00AD6365"/>
    <w:rsid w:val="00AD758D"/>
    <w:rsid w:val="00AD7E9E"/>
    <w:rsid w:val="00AE03D7"/>
    <w:rsid w:val="00AE4548"/>
    <w:rsid w:val="00AF12B0"/>
    <w:rsid w:val="00AF2001"/>
    <w:rsid w:val="00AF2AA5"/>
    <w:rsid w:val="00AF3F29"/>
    <w:rsid w:val="00AF7BC3"/>
    <w:rsid w:val="00B0106C"/>
    <w:rsid w:val="00B03223"/>
    <w:rsid w:val="00B041BF"/>
    <w:rsid w:val="00B05F05"/>
    <w:rsid w:val="00B0769A"/>
    <w:rsid w:val="00B157AA"/>
    <w:rsid w:val="00B22D14"/>
    <w:rsid w:val="00B3106F"/>
    <w:rsid w:val="00B3252C"/>
    <w:rsid w:val="00B4127A"/>
    <w:rsid w:val="00B42B73"/>
    <w:rsid w:val="00B51C17"/>
    <w:rsid w:val="00B52C98"/>
    <w:rsid w:val="00B53E18"/>
    <w:rsid w:val="00B61F09"/>
    <w:rsid w:val="00B779C5"/>
    <w:rsid w:val="00B855AE"/>
    <w:rsid w:val="00B8633C"/>
    <w:rsid w:val="00B86781"/>
    <w:rsid w:val="00B95D94"/>
    <w:rsid w:val="00BA4FF7"/>
    <w:rsid w:val="00BA6AF6"/>
    <w:rsid w:val="00BA7CBC"/>
    <w:rsid w:val="00BB5EA6"/>
    <w:rsid w:val="00BC3C3C"/>
    <w:rsid w:val="00BC497C"/>
    <w:rsid w:val="00BC5236"/>
    <w:rsid w:val="00BD2A59"/>
    <w:rsid w:val="00BD4ADF"/>
    <w:rsid w:val="00BD5A4E"/>
    <w:rsid w:val="00BE2480"/>
    <w:rsid w:val="00BF05B3"/>
    <w:rsid w:val="00BF3B91"/>
    <w:rsid w:val="00BF481F"/>
    <w:rsid w:val="00BF75BC"/>
    <w:rsid w:val="00C01EEF"/>
    <w:rsid w:val="00C0527F"/>
    <w:rsid w:val="00C073DF"/>
    <w:rsid w:val="00C147BF"/>
    <w:rsid w:val="00C14C1E"/>
    <w:rsid w:val="00C14FAA"/>
    <w:rsid w:val="00C15ABB"/>
    <w:rsid w:val="00C22496"/>
    <w:rsid w:val="00C227CB"/>
    <w:rsid w:val="00C233ED"/>
    <w:rsid w:val="00C317AA"/>
    <w:rsid w:val="00C35508"/>
    <w:rsid w:val="00C40482"/>
    <w:rsid w:val="00C443AF"/>
    <w:rsid w:val="00C4538B"/>
    <w:rsid w:val="00C524C7"/>
    <w:rsid w:val="00C5769A"/>
    <w:rsid w:val="00C57975"/>
    <w:rsid w:val="00C654E9"/>
    <w:rsid w:val="00C656F2"/>
    <w:rsid w:val="00C65743"/>
    <w:rsid w:val="00C66AD2"/>
    <w:rsid w:val="00C729B7"/>
    <w:rsid w:val="00C7470D"/>
    <w:rsid w:val="00C7504A"/>
    <w:rsid w:val="00C75FCE"/>
    <w:rsid w:val="00C77F75"/>
    <w:rsid w:val="00C827EA"/>
    <w:rsid w:val="00C840D7"/>
    <w:rsid w:val="00C93DF4"/>
    <w:rsid w:val="00C95894"/>
    <w:rsid w:val="00C95B65"/>
    <w:rsid w:val="00CA2810"/>
    <w:rsid w:val="00CA5C99"/>
    <w:rsid w:val="00CB1856"/>
    <w:rsid w:val="00CB4082"/>
    <w:rsid w:val="00CB4DD3"/>
    <w:rsid w:val="00CB6E6D"/>
    <w:rsid w:val="00CB7CF2"/>
    <w:rsid w:val="00CB7ECB"/>
    <w:rsid w:val="00CC1310"/>
    <w:rsid w:val="00CC2AF5"/>
    <w:rsid w:val="00CD027D"/>
    <w:rsid w:val="00CD0A8D"/>
    <w:rsid w:val="00CD2465"/>
    <w:rsid w:val="00CD4389"/>
    <w:rsid w:val="00CD4D30"/>
    <w:rsid w:val="00CD740D"/>
    <w:rsid w:val="00CE2961"/>
    <w:rsid w:val="00CE3156"/>
    <w:rsid w:val="00CF4F94"/>
    <w:rsid w:val="00CF5A49"/>
    <w:rsid w:val="00CF69E5"/>
    <w:rsid w:val="00D00A44"/>
    <w:rsid w:val="00D061B9"/>
    <w:rsid w:val="00D06436"/>
    <w:rsid w:val="00D1500D"/>
    <w:rsid w:val="00D15C2E"/>
    <w:rsid w:val="00D1686D"/>
    <w:rsid w:val="00D17008"/>
    <w:rsid w:val="00D23E69"/>
    <w:rsid w:val="00D24143"/>
    <w:rsid w:val="00D32729"/>
    <w:rsid w:val="00D34775"/>
    <w:rsid w:val="00D35B21"/>
    <w:rsid w:val="00D37F8A"/>
    <w:rsid w:val="00D421F6"/>
    <w:rsid w:val="00D54309"/>
    <w:rsid w:val="00D55082"/>
    <w:rsid w:val="00D602E1"/>
    <w:rsid w:val="00D616FA"/>
    <w:rsid w:val="00D70365"/>
    <w:rsid w:val="00D70671"/>
    <w:rsid w:val="00D74262"/>
    <w:rsid w:val="00D75B72"/>
    <w:rsid w:val="00D873B0"/>
    <w:rsid w:val="00D93BE5"/>
    <w:rsid w:val="00D9634A"/>
    <w:rsid w:val="00DA0135"/>
    <w:rsid w:val="00DA0848"/>
    <w:rsid w:val="00DA2313"/>
    <w:rsid w:val="00DB4BB1"/>
    <w:rsid w:val="00DC1300"/>
    <w:rsid w:val="00DC332E"/>
    <w:rsid w:val="00DC6067"/>
    <w:rsid w:val="00DD07D2"/>
    <w:rsid w:val="00DD0A59"/>
    <w:rsid w:val="00DD5A6A"/>
    <w:rsid w:val="00DE0ACA"/>
    <w:rsid w:val="00DE1C49"/>
    <w:rsid w:val="00DE40B1"/>
    <w:rsid w:val="00DE7684"/>
    <w:rsid w:val="00DF17C5"/>
    <w:rsid w:val="00E00704"/>
    <w:rsid w:val="00E0119A"/>
    <w:rsid w:val="00E01355"/>
    <w:rsid w:val="00E049CE"/>
    <w:rsid w:val="00E112AB"/>
    <w:rsid w:val="00E1733E"/>
    <w:rsid w:val="00E25E8C"/>
    <w:rsid w:val="00E2633D"/>
    <w:rsid w:val="00E31702"/>
    <w:rsid w:val="00E60E3C"/>
    <w:rsid w:val="00E754FC"/>
    <w:rsid w:val="00E774E8"/>
    <w:rsid w:val="00E81C27"/>
    <w:rsid w:val="00E81F00"/>
    <w:rsid w:val="00E830EE"/>
    <w:rsid w:val="00E9079B"/>
    <w:rsid w:val="00E910CC"/>
    <w:rsid w:val="00E938F2"/>
    <w:rsid w:val="00EC73B7"/>
    <w:rsid w:val="00ED1C45"/>
    <w:rsid w:val="00EE0649"/>
    <w:rsid w:val="00EE4574"/>
    <w:rsid w:val="00EE4608"/>
    <w:rsid w:val="00EE4F45"/>
    <w:rsid w:val="00EE6C7B"/>
    <w:rsid w:val="00EF0947"/>
    <w:rsid w:val="00EF209B"/>
    <w:rsid w:val="00EF5771"/>
    <w:rsid w:val="00EF7B8B"/>
    <w:rsid w:val="00F005CA"/>
    <w:rsid w:val="00F02015"/>
    <w:rsid w:val="00F15C87"/>
    <w:rsid w:val="00F2148C"/>
    <w:rsid w:val="00F21E2F"/>
    <w:rsid w:val="00F2276B"/>
    <w:rsid w:val="00F22C06"/>
    <w:rsid w:val="00F4269C"/>
    <w:rsid w:val="00F44758"/>
    <w:rsid w:val="00F44795"/>
    <w:rsid w:val="00F51D13"/>
    <w:rsid w:val="00F547B7"/>
    <w:rsid w:val="00F63879"/>
    <w:rsid w:val="00F66D72"/>
    <w:rsid w:val="00F72079"/>
    <w:rsid w:val="00F7468E"/>
    <w:rsid w:val="00F8193B"/>
    <w:rsid w:val="00F908FD"/>
    <w:rsid w:val="00F92BEC"/>
    <w:rsid w:val="00F965A3"/>
    <w:rsid w:val="00FA0246"/>
    <w:rsid w:val="00FA0541"/>
    <w:rsid w:val="00FA0A23"/>
    <w:rsid w:val="00FA0A68"/>
    <w:rsid w:val="00FA342E"/>
    <w:rsid w:val="00FA63AA"/>
    <w:rsid w:val="00FA7055"/>
    <w:rsid w:val="00FB2293"/>
    <w:rsid w:val="00FB5204"/>
    <w:rsid w:val="00FC2026"/>
    <w:rsid w:val="00FC3AF6"/>
    <w:rsid w:val="00FC3DF3"/>
    <w:rsid w:val="00FC47CD"/>
    <w:rsid w:val="00FC67FC"/>
    <w:rsid w:val="00FD0C89"/>
    <w:rsid w:val="00FD15FD"/>
    <w:rsid w:val="00FD3A55"/>
    <w:rsid w:val="00FD5848"/>
    <w:rsid w:val="00FE23FD"/>
    <w:rsid w:val="0B52454F"/>
    <w:rsid w:val="1161C6B1"/>
    <w:rsid w:val="11C710C4"/>
    <w:rsid w:val="1212A620"/>
    <w:rsid w:val="28149999"/>
    <w:rsid w:val="367E7999"/>
    <w:rsid w:val="6936BC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B89A0"/>
  <w15:docId w15:val="{B8EB0A33-9B2B-4F0A-B817-C804BCAE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008"/>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3">
    <w:name w:val="heading 3"/>
    <w:basedOn w:val="Normal"/>
    <w:link w:val="Heading3Char"/>
    <w:uiPriority w:val="9"/>
    <w:qFormat/>
    <w:rsid w:val="00456BD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3C"/>
    <w:pPr>
      <w:ind w:left="720"/>
      <w:contextualSpacing/>
    </w:pPr>
  </w:style>
  <w:style w:type="paragraph" w:styleId="Header">
    <w:name w:val="header"/>
    <w:basedOn w:val="Normal"/>
    <w:link w:val="HeaderChar"/>
    <w:uiPriority w:val="99"/>
    <w:unhideWhenUsed/>
    <w:rsid w:val="00AB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592"/>
  </w:style>
  <w:style w:type="paragraph" w:styleId="Footer">
    <w:name w:val="footer"/>
    <w:basedOn w:val="Normal"/>
    <w:link w:val="FooterChar"/>
    <w:uiPriority w:val="99"/>
    <w:unhideWhenUsed/>
    <w:rsid w:val="00AB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592"/>
  </w:style>
  <w:style w:type="paragraph" w:customStyle="1" w:styleId="Body">
    <w:name w:val="Body"/>
    <w:basedOn w:val="Normal"/>
    <w:qFormat/>
    <w:rsid w:val="00D75B72"/>
    <w:pPr>
      <w:spacing w:after="0" w:line="260" w:lineRule="exact"/>
    </w:pPr>
    <w:rPr>
      <w:rFonts w:ascii="Calibri" w:eastAsia="Times New Roman" w:hAnsi="Calibri" w:cs="Times New Roman"/>
      <w:color w:val="000000" w:themeColor="text1"/>
      <w:lang w:eastAsia="en-GB"/>
    </w:rPr>
  </w:style>
  <w:style w:type="character" w:styleId="Hyperlink">
    <w:name w:val="Hyperlink"/>
    <w:basedOn w:val="DefaultParagraphFont"/>
    <w:unhideWhenUsed/>
    <w:rsid w:val="00D75B72"/>
    <w:rPr>
      <w:color w:val="0563C1" w:themeColor="hyperlink"/>
      <w:u w:val="single"/>
    </w:rPr>
  </w:style>
  <w:style w:type="character" w:customStyle="1" w:styleId="UnresolvedMention1">
    <w:name w:val="Unresolved Mention1"/>
    <w:basedOn w:val="DefaultParagraphFont"/>
    <w:uiPriority w:val="99"/>
    <w:semiHidden/>
    <w:unhideWhenUsed/>
    <w:rsid w:val="00D75B72"/>
    <w:rPr>
      <w:color w:val="605E5C"/>
      <w:shd w:val="clear" w:color="auto" w:fill="E1DFDD"/>
    </w:rPr>
  </w:style>
  <w:style w:type="character" w:styleId="FollowedHyperlink">
    <w:name w:val="FollowedHyperlink"/>
    <w:basedOn w:val="DefaultParagraphFont"/>
    <w:uiPriority w:val="99"/>
    <w:semiHidden/>
    <w:unhideWhenUsed/>
    <w:rsid w:val="003C381B"/>
    <w:rPr>
      <w:color w:val="954F72" w:themeColor="followedHyperlink"/>
      <w:u w:val="single"/>
    </w:rPr>
  </w:style>
  <w:style w:type="paragraph" w:styleId="NoSpacing">
    <w:name w:val="No Spacing"/>
    <w:uiPriority w:val="1"/>
    <w:qFormat/>
    <w:rsid w:val="007D4D19"/>
    <w:pPr>
      <w:spacing w:after="0" w:line="240" w:lineRule="auto"/>
    </w:pPr>
  </w:style>
  <w:style w:type="paragraph" w:customStyle="1" w:styleId="Point">
    <w:name w:val="Point"/>
    <w:basedOn w:val="Normal"/>
    <w:link w:val="PointChar"/>
    <w:qFormat/>
    <w:rsid w:val="007D4D19"/>
    <w:pPr>
      <w:tabs>
        <w:tab w:val="left" w:pos="680"/>
        <w:tab w:val="left" w:pos="1361"/>
      </w:tabs>
      <w:suppressAutoHyphens/>
      <w:spacing w:after="240" w:line="260" w:lineRule="exact"/>
    </w:pPr>
    <w:rPr>
      <w:rFonts w:ascii="Calibri" w:eastAsiaTheme="majorEastAsia" w:hAnsi="Calibri" w:cstheme="majorBidi"/>
      <w:bCs/>
      <w:color w:val="000000" w:themeColor="text1"/>
      <w:szCs w:val="32"/>
    </w:rPr>
  </w:style>
  <w:style w:type="paragraph" w:styleId="NormalWeb">
    <w:name w:val="Normal (Web)"/>
    <w:basedOn w:val="Normal"/>
    <w:uiPriority w:val="99"/>
    <w:unhideWhenUsed/>
    <w:rsid w:val="00F020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57975"/>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UnresolvedMention2">
    <w:name w:val="Unresolved Mention2"/>
    <w:basedOn w:val="DefaultParagraphFont"/>
    <w:uiPriority w:val="99"/>
    <w:semiHidden/>
    <w:unhideWhenUsed/>
    <w:rsid w:val="006542E5"/>
    <w:rPr>
      <w:color w:val="605E5C"/>
      <w:shd w:val="clear" w:color="auto" w:fill="E1DFDD"/>
    </w:rPr>
  </w:style>
  <w:style w:type="paragraph" w:styleId="FootnoteText">
    <w:name w:val="footnote text"/>
    <w:basedOn w:val="Normal"/>
    <w:link w:val="FootnoteTextChar"/>
    <w:uiPriority w:val="99"/>
    <w:semiHidden/>
    <w:unhideWhenUsed/>
    <w:rsid w:val="00D42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1F6"/>
    <w:rPr>
      <w:sz w:val="20"/>
      <w:szCs w:val="20"/>
    </w:rPr>
  </w:style>
  <w:style w:type="character" w:styleId="FootnoteReference">
    <w:name w:val="footnote reference"/>
    <w:basedOn w:val="DefaultParagraphFont"/>
    <w:uiPriority w:val="99"/>
    <w:semiHidden/>
    <w:unhideWhenUsed/>
    <w:rsid w:val="00D421F6"/>
    <w:rPr>
      <w:vertAlign w:val="superscript"/>
    </w:rPr>
  </w:style>
  <w:style w:type="paragraph" w:styleId="EndnoteText">
    <w:name w:val="endnote text"/>
    <w:basedOn w:val="Normal"/>
    <w:link w:val="EndnoteTextChar"/>
    <w:uiPriority w:val="99"/>
    <w:semiHidden/>
    <w:unhideWhenUsed/>
    <w:rsid w:val="003A04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048F"/>
    <w:rPr>
      <w:sz w:val="20"/>
      <w:szCs w:val="20"/>
    </w:rPr>
  </w:style>
  <w:style w:type="character" w:styleId="EndnoteReference">
    <w:name w:val="endnote reference"/>
    <w:basedOn w:val="DefaultParagraphFont"/>
    <w:uiPriority w:val="99"/>
    <w:semiHidden/>
    <w:unhideWhenUsed/>
    <w:rsid w:val="003A048F"/>
    <w:rPr>
      <w:vertAlign w:val="superscript"/>
    </w:rPr>
  </w:style>
  <w:style w:type="character" w:styleId="Strong">
    <w:name w:val="Strong"/>
    <w:basedOn w:val="DefaultParagraphFont"/>
    <w:uiPriority w:val="22"/>
    <w:qFormat/>
    <w:rsid w:val="006E5614"/>
    <w:rPr>
      <w:b/>
      <w:bCs/>
    </w:rPr>
  </w:style>
  <w:style w:type="character" w:customStyle="1" w:styleId="Heading3Char">
    <w:name w:val="Heading 3 Char"/>
    <w:basedOn w:val="DefaultParagraphFont"/>
    <w:link w:val="Heading3"/>
    <w:uiPriority w:val="9"/>
    <w:rsid w:val="00456BD1"/>
    <w:rPr>
      <w:rFonts w:ascii="Times New Roman" w:eastAsia="Times New Roman" w:hAnsi="Times New Roman" w:cs="Times New Roman"/>
      <w:b/>
      <w:bCs/>
      <w:sz w:val="27"/>
      <w:szCs w:val="27"/>
      <w:lang w:eastAsia="en-GB"/>
    </w:rPr>
  </w:style>
  <w:style w:type="character" w:customStyle="1" w:styleId="number">
    <w:name w:val="number"/>
    <w:basedOn w:val="DefaultParagraphFont"/>
    <w:rsid w:val="00456BD1"/>
  </w:style>
  <w:style w:type="paragraph" w:customStyle="1" w:styleId="Style1">
    <w:name w:val="Style1"/>
    <w:basedOn w:val="Point"/>
    <w:link w:val="Style1Char"/>
    <w:qFormat/>
    <w:rsid w:val="00B53E18"/>
    <w:pPr>
      <w:ind w:left="822" w:hanging="397"/>
      <w:jc w:val="both"/>
    </w:pPr>
  </w:style>
  <w:style w:type="character" w:customStyle="1" w:styleId="PointChar">
    <w:name w:val="Point Char"/>
    <w:basedOn w:val="DefaultParagraphFont"/>
    <w:link w:val="Point"/>
    <w:rsid w:val="00B53E18"/>
    <w:rPr>
      <w:rFonts w:ascii="Calibri" w:eastAsiaTheme="majorEastAsia" w:hAnsi="Calibri" w:cstheme="majorBidi"/>
      <w:bCs/>
      <w:color w:val="000000" w:themeColor="text1"/>
      <w:szCs w:val="32"/>
    </w:rPr>
  </w:style>
  <w:style w:type="character" w:customStyle="1" w:styleId="Style1Char">
    <w:name w:val="Style1 Char"/>
    <w:basedOn w:val="PointChar"/>
    <w:link w:val="Style1"/>
    <w:rsid w:val="00622564"/>
    <w:rPr>
      <w:rFonts w:ascii="Calibri" w:eastAsiaTheme="majorEastAsia" w:hAnsi="Calibri" w:cstheme="majorBidi"/>
      <w:bCs/>
      <w:color w:val="000000" w:themeColor="text1"/>
      <w:szCs w:val="32"/>
    </w:rPr>
  </w:style>
  <w:style w:type="character" w:styleId="CommentReference">
    <w:name w:val="annotation reference"/>
    <w:basedOn w:val="DefaultParagraphFont"/>
    <w:uiPriority w:val="99"/>
    <w:semiHidden/>
    <w:unhideWhenUsed/>
    <w:rsid w:val="00A615C6"/>
    <w:rPr>
      <w:sz w:val="16"/>
      <w:szCs w:val="16"/>
    </w:rPr>
  </w:style>
  <w:style w:type="paragraph" w:styleId="CommentText">
    <w:name w:val="annotation text"/>
    <w:basedOn w:val="Normal"/>
    <w:link w:val="CommentTextChar"/>
    <w:uiPriority w:val="99"/>
    <w:semiHidden/>
    <w:unhideWhenUsed/>
    <w:rsid w:val="00A615C6"/>
    <w:pPr>
      <w:spacing w:line="240" w:lineRule="auto"/>
    </w:pPr>
    <w:rPr>
      <w:sz w:val="20"/>
      <w:szCs w:val="20"/>
    </w:rPr>
  </w:style>
  <w:style w:type="character" w:customStyle="1" w:styleId="CommentTextChar">
    <w:name w:val="Comment Text Char"/>
    <w:basedOn w:val="DefaultParagraphFont"/>
    <w:link w:val="CommentText"/>
    <w:uiPriority w:val="99"/>
    <w:semiHidden/>
    <w:rsid w:val="00A615C6"/>
    <w:rPr>
      <w:sz w:val="20"/>
      <w:szCs w:val="20"/>
    </w:rPr>
  </w:style>
  <w:style w:type="paragraph" w:styleId="CommentSubject">
    <w:name w:val="annotation subject"/>
    <w:basedOn w:val="CommentText"/>
    <w:next w:val="CommentText"/>
    <w:link w:val="CommentSubjectChar"/>
    <w:uiPriority w:val="99"/>
    <w:semiHidden/>
    <w:unhideWhenUsed/>
    <w:rsid w:val="00A615C6"/>
    <w:rPr>
      <w:b/>
      <w:bCs/>
    </w:rPr>
  </w:style>
  <w:style w:type="character" w:customStyle="1" w:styleId="CommentSubjectChar">
    <w:name w:val="Comment Subject Char"/>
    <w:basedOn w:val="CommentTextChar"/>
    <w:link w:val="CommentSubject"/>
    <w:uiPriority w:val="99"/>
    <w:semiHidden/>
    <w:rsid w:val="00A615C6"/>
    <w:rPr>
      <w:b/>
      <w:bCs/>
      <w:sz w:val="20"/>
      <w:szCs w:val="20"/>
    </w:rPr>
  </w:style>
  <w:style w:type="paragraph" w:styleId="BalloonText">
    <w:name w:val="Balloon Text"/>
    <w:basedOn w:val="Normal"/>
    <w:link w:val="BalloonTextChar"/>
    <w:uiPriority w:val="99"/>
    <w:semiHidden/>
    <w:unhideWhenUsed/>
    <w:rsid w:val="00A61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5C6"/>
    <w:rPr>
      <w:rFonts w:ascii="Segoe UI" w:hAnsi="Segoe UI" w:cs="Segoe UI"/>
      <w:sz w:val="18"/>
      <w:szCs w:val="18"/>
    </w:rPr>
  </w:style>
  <w:style w:type="paragraph" w:customStyle="1" w:styleId="xxmsonormal">
    <w:name w:val="x_x_msonormal"/>
    <w:basedOn w:val="Normal"/>
    <w:rsid w:val="002F4593"/>
    <w:pPr>
      <w:spacing w:before="100" w:beforeAutospacing="1" w:after="100" w:afterAutospacing="1" w:line="240" w:lineRule="auto"/>
    </w:pPr>
    <w:rPr>
      <w:rFonts w:ascii="Times" w:hAnsi="Times"/>
      <w:sz w:val="20"/>
      <w:szCs w:val="20"/>
    </w:rPr>
  </w:style>
  <w:style w:type="character" w:customStyle="1" w:styleId="markpq073wlfx">
    <w:name w:val="markpq073wlfx"/>
    <w:basedOn w:val="DefaultParagraphFont"/>
    <w:rsid w:val="002F4593"/>
  </w:style>
  <w:style w:type="character" w:customStyle="1" w:styleId="Heading1Char">
    <w:name w:val="Heading 1 Char"/>
    <w:basedOn w:val="DefaultParagraphFont"/>
    <w:link w:val="Heading1"/>
    <w:uiPriority w:val="9"/>
    <w:rsid w:val="00907008"/>
    <w:rPr>
      <w:rFonts w:asciiTheme="majorHAnsi" w:eastAsiaTheme="majorEastAsia" w:hAnsiTheme="majorHAnsi" w:cstheme="majorBidi"/>
      <w:b/>
      <w:bCs/>
      <w:color w:val="2D4F8E" w:themeColor="accent1" w:themeShade="B5"/>
      <w:sz w:val="32"/>
      <w:szCs w:val="32"/>
    </w:rPr>
  </w:style>
  <w:style w:type="paragraph" w:styleId="BodyText">
    <w:name w:val="Body Text"/>
    <w:basedOn w:val="Normal"/>
    <w:link w:val="BodyTextChar"/>
    <w:uiPriority w:val="99"/>
    <w:unhideWhenUsed/>
    <w:rsid w:val="00907008"/>
    <w:pPr>
      <w:spacing w:after="120"/>
    </w:pPr>
  </w:style>
  <w:style w:type="character" w:customStyle="1" w:styleId="BodyTextChar">
    <w:name w:val="Body Text Char"/>
    <w:basedOn w:val="DefaultParagraphFont"/>
    <w:link w:val="BodyText"/>
    <w:uiPriority w:val="99"/>
    <w:rsid w:val="0090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290">
      <w:bodyDiv w:val="1"/>
      <w:marLeft w:val="0"/>
      <w:marRight w:val="0"/>
      <w:marTop w:val="0"/>
      <w:marBottom w:val="0"/>
      <w:divBdr>
        <w:top w:val="none" w:sz="0" w:space="0" w:color="auto"/>
        <w:left w:val="none" w:sz="0" w:space="0" w:color="auto"/>
        <w:bottom w:val="none" w:sz="0" w:space="0" w:color="auto"/>
        <w:right w:val="none" w:sz="0" w:space="0" w:color="auto"/>
      </w:divBdr>
    </w:div>
    <w:div w:id="63571080">
      <w:bodyDiv w:val="1"/>
      <w:marLeft w:val="0"/>
      <w:marRight w:val="0"/>
      <w:marTop w:val="0"/>
      <w:marBottom w:val="0"/>
      <w:divBdr>
        <w:top w:val="none" w:sz="0" w:space="0" w:color="auto"/>
        <w:left w:val="none" w:sz="0" w:space="0" w:color="auto"/>
        <w:bottom w:val="none" w:sz="0" w:space="0" w:color="auto"/>
        <w:right w:val="none" w:sz="0" w:space="0" w:color="auto"/>
      </w:divBdr>
    </w:div>
    <w:div w:id="116223248">
      <w:bodyDiv w:val="1"/>
      <w:marLeft w:val="0"/>
      <w:marRight w:val="0"/>
      <w:marTop w:val="0"/>
      <w:marBottom w:val="0"/>
      <w:divBdr>
        <w:top w:val="none" w:sz="0" w:space="0" w:color="auto"/>
        <w:left w:val="none" w:sz="0" w:space="0" w:color="auto"/>
        <w:bottom w:val="none" w:sz="0" w:space="0" w:color="auto"/>
        <w:right w:val="none" w:sz="0" w:space="0" w:color="auto"/>
      </w:divBdr>
    </w:div>
    <w:div w:id="163012101">
      <w:bodyDiv w:val="1"/>
      <w:marLeft w:val="0"/>
      <w:marRight w:val="0"/>
      <w:marTop w:val="0"/>
      <w:marBottom w:val="0"/>
      <w:divBdr>
        <w:top w:val="none" w:sz="0" w:space="0" w:color="auto"/>
        <w:left w:val="none" w:sz="0" w:space="0" w:color="auto"/>
        <w:bottom w:val="none" w:sz="0" w:space="0" w:color="auto"/>
        <w:right w:val="none" w:sz="0" w:space="0" w:color="auto"/>
      </w:divBdr>
    </w:div>
    <w:div w:id="175928301">
      <w:bodyDiv w:val="1"/>
      <w:marLeft w:val="0"/>
      <w:marRight w:val="0"/>
      <w:marTop w:val="0"/>
      <w:marBottom w:val="0"/>
      <w:divBdr>
        <w:top w:val="none" w:sz="0" w:space="0" w:color="auto"/>
        <w:left w:val="none" w:sz="0" w:space="0" w:color="auto"/>
        <w:bottom w:val="none" w:sz="0" w:space="0" w:color="auto"/>
        <w:right w:val="none" w:sz="0" w:space="0" w:color="auto"/>
      </w:divBdr>
      <w:divsChild>
        <w:div w:id="1174301460">
          <w:marLeft w:val="0"/>
          <w:marRight w:val="0"/>
          <w:marTop w:val="15"/>
          <w:marBottom w:val="0"/>
          <w:divBdr>
            <w:top w:val="none" w:sz="0" w:space="0" w:color="auto"/>
            <w:left w:val="none" w:sz="0" w:space="0" w:color="auto"/>
            <w:bottom w:val="none" w:sz="0" w:space="0" w:color="auto"/>
            <w:right w:val="none" w:sz="0" w:space="0" w:color="auto"/>
          </w:divBdr>
          <w:divsChild>
            <w:div w:id="1882746836">
              <w:marLeft w:val="0"/>
              <w:marRight w:val="0"/>
              <w:marTop w:val="0"/>
              <w:marBottom w:val="0"/>
              <w:divBdr>
                <w:top w:val="none" w:sz="0" w:space="0" w:color="auto"/>
                <w:left w:val="none" w:sz="0" w:space="0" w:color="auto"/>
                <w:bottom w:val="none" w:sz="0" w:space="0" w:color="auto"/>
                <w:right w:val="none" w:sz="0" w:space="0" w:color="auto"/>
              </w:divBdr>
            </w:div>
          </w:divsChild>
        </w:div>
        <w:div w:id="177038032">
          <w:marLeft w:val="0"/>
          <w:marRight w:val="0"/>
          <w:marTop w:val="15"/>
          <w:marBottom w:val="0"/>
          <w:divBdr>
            <w:top w:val="none" w:sz="0" w:space="0" w:color="auto"/>
            <w:left w:val="none" w:sz="0" w:space="0" w:color="auto"/>
            <w:bottom w:val="none" w:sz="0" w:space="0" w:color="auto"/>
            <w:right w:val="none" w:sz="0" w:space="0" w:color="auto"/>
          </w:divBdr>
          <w:divsChild>
            <w:div w:id="88890998">
              <w:marLeft w:val="0"/>
              <w:marRight w:val="0"/>
              <w:marTop w:val="0"/>
              <w:marBottom w:val="0"/>
              <w:divBdr>
                <w:top w:val="none" w:sz="0" w:space="0" w:color="auto"/>
                <w:left w:val="none" w:sz="0" w:space="0" w:color="auto"/>
                <w:bottom w:val="none" w:sz="0" w:space="0" w:color="auto"/>
                <w:right w:val="none" w:sz="0" w:space="0" w:color="auto"/>
              </w:divBdr>
            </w:div>
          </w:divsChild>
        </w:div>
        <w:div w:id="387346030">
          <w:marLeft w:val="0"/>
          <w:marRight w:val="0"/>
          <w:marTop w:val="15"/>
          <w:marBottom w:val="0"/>
          <w:divBdr>
            <w:top w:val="none" w:sz="0" w:space="0" w:color="auto"/>
            <w:left w:val="none" w:sz="0" w:space="0" w:color="auto"/>
            <w:bottom w:val="none" w:sz="0" w:space="0" w:color="auto"/>
            <w:right w:val="none" w:sz="0" w:space="0" w:color="auto"/>
          </w:divBdr>
          <w:divsChild>
            <w:div w:id="2069760148">
              <w:marLeft w:val="0"/>
              <w:marRight w:val="0"/>
              <w:marTop w:val="0"/>
              <w:marBottom w:val="0"/>
              <w:divBdr>
                <w:top w:val="none" w:sz="0" w:space="0" w:color="auto"/>
                <w:left w:val="none" w:sz="0" w:space="0" w:color="auto"/>
                <w:bottom w:val="none" w:sz="0" w:space="0" w:color="auto"/>
                <w:right w:val="none" w:sz="0" w:space="0" w:color="auto"/>
              </w:divBdr>
            </w:div>
          </w:divsChild>
        </w:div>
        <w:div w:id="1644850332">
          <w:marLeft w:val="0"/>
          <w:marRight w:val="0"/>
          <w:marTop w:val="15"/>
          <w:marBottom w:val="0"/>
          <w:divBdr>
            <w:top w:val="none" w:sz="0" w:space="0" w:color="auto"/>
            <w:left w:val="none" w:sz="0" w:space="0" w:color="auto"/>
            <w:bottom w:val="none" w:sz="0" w:space="0" w:color="auto"/>
            <w:right w:val="none" w:sz="0" w:space="0" w:color="auto"/>
          </w:divBdr>
          <w:divsChild>
            <w:div w:id="377245137">
              <w:marLeft w:val="0"/>
              <w:marRight w:val="0"/>
              <w:marTop w:val="0"/>
              <w:marBottom w:val="0"/>
              <w:divBdr>
                <w:top w:val="none" w:sz="0" w:space="0" w:color="auto"/>
                <w:left w:val="none" w:sz="0" w:space="0" w:color="auto"/>
                <w:bottom w:val="none" w:sz="0" w:space="0" w:color="auto"/>
                <w:right w:val="none" w:sz="0" w:space="0" w:color="auto"/>
              </w:divBdr>
            </w:div>
          </w:divsChild>
        </w:div>
        <w:div w:id="1842504281">
          <w:marLeft w:val="0"/>
          <w:marRight w:val="0"/>
          <w:marTop w:val="15"/>
          <w:marBottom w:val="0"/>
          <w:divBdr>
            <w:top w:val="none" w:sz="0" w:space="0" w:color="auto"/>
            <w:left w:val="none" w:sz="0" w:space="0" w:color="auto"/>
            <w:bottom w:val="none" w:sz="0" w:space="0" w:color="auto"/>
            <w:right w:val="none" w:sz="0" w:space="0" w:color="auto"/>
          </w:divBdr>
          <w:divsChild>
            <w:div w:id="1111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696">
      <w:bodyDiv w:val="1"/>
      <w:marLeft w:val="0"/>
      <w:marRight w:val="0"/>
      <w:marTop w:val="0"/>
      <w:marBottom w:val="0"/>
      <w:divBdr>
        <w:top w:val="none" w:sz="0" w:space="0" w:color="auto"/>
        <w:left w:val="none" w:sz="0" w:space="0" w:color="auto"/>
        <w:bottom w:val="none" w:sz="0" w:space="0" w:color="auto"/>
        <w:right w:val="none" w:sz="0" w:space="0" w:color="auto"/>
      </w:divBdr>
    </w:div>
    <w:div w:id="219904538">
      <w:bodyDiv w:val="1"/>
      <w:marLeft w:val="0"/>
      <w:marRight w:val="0"/>
      <w:marTop w:val="0"/>
      <w:marBottom w:val="0"/>
      <w:divBdr>
        <w:top w:val="none" w:sz="0" w:space="0" w:color="auto"/>
        <w:left w:val="none" w:sz="0" w:space="0" w:color="auto"/>
        <w:bottom w:val="none" w:sz="0" w:space="0" w:color="auto"/>
        <w:right w:val="none" w:sz="0" w:space="0" w:color="auto"/>
      </w:divBdr>
      <w:divsChild>
        <w:div w:id="1969581944">
          <w:marLeft w:val="0"/>
          <w:marRight w:val="0"/>
          <w:marTop w:val="0"/>
          <w:marBottom w:val="0"/>
          <w:divBdr>
            <w:top w:val="none" w:sz="0" w:space="0" w:color="auto"/>
            <w:left w:val="none" w:sz="0" w:space="0" w:color="auto"/>
            <w:bottom w:val="none" w:sz="0" w:space="0" w:color="auto"/>
            <w:right w:val="none" w:sz="0" w:space="0" w:color="auto"/>
          </w:divBdr>
        </w:div>
        <w:div w:id="8068528">
          <w:marLeft w:val="0"/>
          <w:marRight w:val="0"/>
          <w:marTop w:val="0"/>
          <w:marBottom w:val="0"/>
          <w:divBdr>
            <w:top w:val="none" w:sz="0" w:space="0" w:color="auto"/>
            <w:left w:val="none" w:sz="0" w:space="0" w:color="auto"/>
            <w:bottom w:val="none" w:sz="0" w:space="0" w:color="auto"/>
            <w:right w:val="none" w:sz="0" w:space="0" w:color="auto"/>
          </w:divBdr>
        </w:div>
        <w:div w:id="97063103">
          <w:marLeft w:val="0"/>
          <w:marRight w:val="0"/>
          <w:marTop w:val="0"/>
          <w:marBottom w:val="0"/>
          <w:divBdr>
            <w:top w:val="none" w:sz="0" w:space="0" w:color="auto"/>
            <w:left w:val="none" w:sz="0" w:space="0" w:color="auto"/>
            <w:bottom w:val="none" w:sz="0" w:space="0" w:color="auto"/>
            <w:right w:val="none" w:sz="0" w:space="0" w:color="auto"/>
          </w:divBdr>
        </w:div>
      </w:divsChild>
    </w:div>
    <w:div w:id="292176605">
      <w:bodyDiv w:val="1"/>
      <w:marLeft w:val="0"/>
      <w:marRight w:val="0"/>
      <w:marTop w:val="0"/>
      <w:marBottom w:val="0"/>
      <w:divBdr>
        <w:top w:val="none" w:sz="0" w:space="0" w:color="auto"/>
        <w:left w:val="none" w:sz="0" w:space="0" w:color="auto"/>
        <w:bottom w:val="none" w:sz="0" w:space="0" w:color="auto"/>
        <w:right w:val="none" w:sz="0" w:space="0" w:color="auto"/>
      </w:divBdr>
    </w:div>
    <w:div w:id="371541274">
      <w:bodyDiv w:val="1"/>
      <w:marLeft w:val="0"/>
      <w:marRight w:val="0"/>
      <w:marTop w:val="0"/>
      <w:marBottom w:val="0"/>
      <w:divBdr>
        <w:top w:val="none" w:sz="0" w:space="0" w:color="auto"/>
        <w:left w:val="none" w:sz="0" w:space="0" w:color="auto"/>
        <w:bottom w:val="none" w:sz="0" w:space="0" w:color="auto"/>
        <w:right w:val="none" w:sz="0" w:space="0" w:color="auto"/>
      </w:divBdr>
    </w:div>
    <w:div w:id="374040126">
      <w:bodyDiv w:val="1"/>
      <w:marLeft w:val="0"/>
      <w:marRight w:val="0"/>
      <w:marTop w:val="0"/>
      <w:marBottom w:val="0"/>
      <w:divBdr>
        <w:top w:val="none" w:sz="0" w:space="0" w:color="auto"/>
        <w:left w:val="none" w:sz="0" w:space="0" w:color="auto"/>
        <w:bottom w:val="none" w:sz="0" w:space="0" w:color="auto"/>
        <w:right w:val="none" w:sz="0" w:space="0" w:color="auto"/>
      </w:divBdr>
    </w:div>
    <w:div w:id="383918853">
      <w:bodyDiv w:val="1"/>
      <w:marLeft w:val="0"/>
      <w:marRight w:val="0"/>
      <w:marTop w:val="0"/>
      <w:marBottom w:val="0"/>
      <w:divBdr>
        <w:top w:val="none" w:sz="0" w:space="0" w:color="auto"/>
        <w:left w:val="none" w:sz="0" w:space="0" w:color="auto"/>
        <w:bottom w:val="none" w:sz="0" w:space="0" w:color="auto"/>
        <w:right w:val="none" w:sz="0" w:space="0" w:color="auto"/>
      </w:divBdr>
    </w:div>
    <w:div w:id="518855673">
      <w:bodyDiv w:val="1"/>
      <w:marLeft w:val="0"/>
      <w:marRight w:val="0"/>
      <w:marTop w:val="0"/>
      <w:marBottom w:val="0"/>
      <w:divBdr>
        <w:top w:val="none" w:sz="0" w:space="0" w:color="auto"/>
        <w:left w:val="none" w:sz="0" w:space="0" w:color="auto"/>
        <w:bottom w:val="none" w:sz="0" w:space="0" w:color="auto"/>
        <w:right w:val="none" w:sz="0" w:space="0" w:color="auto"/>
      </w:divBdr>
    </w:div>
    <w:div w:id="631179392">
      <w:bodyDiv w:val="1"/>
      <w:marLeft w:val="0"/>
      <w:marRight w:val="0"/>
      <w:marTop w:val="0"/>
      <w:marBottom w:val="0"/>
      <w:divBdr>
        <w:top w:val="none" w:sz="0" w:space="0" w:color="auto"/>
        <w:left w:val="none" w:sz="0" w:space="0" w:color="auto"/>
        <w:bottom w:val="none" w:sz="0" w:space="0" w:color="auto"/>
        <w:right w:val="none" w:sz="0" w:space="0" w:color="auto"/>
      </w:divBdr>
    </w:div>
    <w:div w:id="660472018">
      <w:bodyDiv w:val="1"/>
      <w:marLeft w:val="0"/>
      <w:marRight w:val="0"/>
      <w:marTop w:val="0"/>
      <w:marBottom w:val="0"/>
      <w:divBdr>
        <w:top w:val="none" w:sz="0" w:space="0" w:color="auto"/>
        <w:left w:val="none" w:sz="0" w:space="0" w:color="auto"/>
        <w:bottom w:val="none" w:sz="0" w:space="0" w:color="auto"/>
        <w:right w:val="none" w:sz="0" w:space="0" w:color="auto"/>
      </w:divBdr>
    </w:div>
    <w:div w:id="668799725">
      <w:bodyDiv w:val="1"/>
      <w:marLeft w:val="0"/>
      <w:marRight w:val="0"/>
      <w:marTop w:val="0"/>
      <w:marBottom w:val="0"/>
      <w:divBdr>
        <w:top w:val="none" w:sz="0" w:space="0" w:color="auto"/>
        <w:left w:val="none" w:sz="0" w:space="0" w:color="auto"/>
        <w:bottom w:val="none" w:sz="0" w:space="0" w:color="auto"/>
        <w:right w:val="none" w:sz="0" w:space="0" w:color="auto"/>
      </w:divBdr>
    </w:div>
    <w:div w:id="712391993">
      <w:bodyDiv w:val="1"/>
      <w:marLeft w:val="0"/>
      <w:marRight w:val="0"/>
      <w:marTop w:val="0"/>
      <w:marBottom w:val="0"/>
      <w:divBdr>
        <w:top w:val="none" w:sz="0" w:space="0" w:color="auto"/>
        <w:left w:val="none" w:sz="0" w:space="0" w:color="auto"/>
        <w:bottom w:val="none" w:sz="0" w:space="0" w:color="auto"/>
        <w:right w:val="none" w:sz="0" w:space="0" w:color="auto"/>
      </w:divBdr>
    </w:div>
    <w:div w:id="730036013">
      <w:bodyDiv w:val="1"/>
      <w:marLeft w:val="0"/>
      <w:marRight w:val="0"/>
      <w:marTop w:val="0"/>
      <w:marBottom w:val="0"/>
      <w:divBdr>
        <w:top w:val="none" w:sz="0" w:space="0" w:color="auto"/>
        <w:left w:val="none" w:sz="0" w:space="0" w:color="auto"/>
        <w:bottom w:val="none" w:sz="0" w:space="0" w:color="auto"/>
        <w:right w:val="none" w:sz="0" w:space="0" w:color="auto"/>
      </w:divBdr>
    </w:div>
    <w:div w:id="732238749">
      <w:bodyDiv w:val="1"/>
      <w:marLeft w:val="0"/>
      <w:marRight w:val="0"/>
      <w:marTop w:val="0"/>
      <w:marBottom w:val="0"/>
      <w:divBdr>
        <w:top w:val="none" w:sz="0" w:space="0" w:color="auto"/>
        <w:left w:val="none" w:sz="0" w:space="0" w:color="auto"/>
        <w:bottom w:val="none" w:sz="0" w:space="0" w:color="auto"/>
        <w:right w:val="none" w:sz="0" w:space="0" w:color="auto"/>
      </w:divBdr>
    </w:div>
    <w:div w:id="751313501">
      <w:bodyDiv w:val="1"/>
      <w:marLeft w:val="0"/>
      <w:marRight w:val="0"/>
      <w:marTop w:val="0"/>
      <w:marBottom w:val="0"/>
      <w:divBdr>
        <w:top w:val="none" w:sz="0" w:space="0" w:color="auto"/>
        <w:left w:val="none" w:sz="0" w:space="0" w:color="auto"/>
        <w:bottom w:val="none" w:sz="0" w:space="0" w:color="auto"/>
        <w:right w:val="none" w:sz="0" w:space="0" w:color="auto"/>
      </w:divBdr>
    </w:div>
    <w:div w:id="754208056">
      <w:bodyDiv w:val="1"/>
      <w:marLeft w:val="0"/>
      <w:marRight w:val="0"/>
      <w:marTop w:val="0"/>
      <w:marBottom w:val="0"/>
      <w:divBdr>
        <w:top w:val="none" w:sz="0" w:space="0" w:color="auto"/>
        <w:left w:val="none" w:sz="0" w:space="0" w:color="auto"/>
        <w:bottom w:val="none" w:sz="0" w:space="0" w:color="auto"/>
        <w:right w:val="none" w:sz="0" w:space="0" w:color="auto"/>
      </w:divBdr>
    </w:div>
    <w:div w:id="823861975">
      <w:bodyDiv w:val="1"/>
      <w:marLeft w:val="0"/>
      <w:marRight w:val="0"/>
      <w:marTop w:val="0"/>
      <w:marBottom w:val="0"/>
      <w:divBdr>
        <w:top w:val="none" w:sz="0" w:space="0" w:color="auto"/>
        <w:left w:val="none" w:sz="0" w:space="0" w:color="auto"/>
        <w:bottom w:val="none" w:sz="0" w:space="0" w:color="auto"/>
        <w:right w:val="none" w:sz="0" w:space="0" w:color="auto"/>
      </w:divBdr>
    </w:div>
    <w:div w:id="828711085">
      <w:bodyDiv w:val="1"/>
      <w:marLeft w:val="0"/>
      <w:marRight w:val="0"/>
      <w:marTop w:val="0"/>
      <w:marBottom w:val="0"/>
      <w:divBdr>
        <w:top w:val="none" w:sz="0" w:space="0" w:color="auto"/>
        <w:left w:val="none" w:sz="0" w:space="0" w:color="auto"/>
        <w:bottom w:val="none" w:sz="0" w:space="0" w:color="auto"/>
        <w:right w:val="none" w:sz="0" w:space="0" w:color="auto"/>
      </w:divBdr>
    </w:div>
    <w:div w:id="838613695">
      <w:bodyDiv w:val="1"/>
      <w:marLeft w:val="0"/>
      <w:marRight w:val="0"/>
      <w:marTop w:val="0"/>
      <w:marBottom w:val="0"/>
      <w:divBdr>
        <w:top w:val="none" w:sz="0" w:space="0" w:color="auto"/>
        <w:left w:val="none" w:sz="0" w:space="0" w:color="auto"/>
        <w:bottom w:val="none" w:sz="0" w:space="0" w:color="auto"/>
        <w:right w:val="none" w:sz="0" w:space="0" w:color="auto"/>
      </w:divBdr>
    </w:div>
    <w:div w:id="878052407">
      <w:bodyDiv w:val="1"/>
      <w:marLeft w:val="0"/>
      <w:marRight w:val="0"/>
      <w:marTop w:val="0"/>
      <w:marBottom w:val="0"/>
      <w:divBdr>
        <w:top w:val="none" w:sz="0" w:space="0" w:color="auto"/>
        <w:left w:val="none" w:sz="0" w:space="0" w:color="auto"/>
        <w:bottom w:val="none" w:sz="0" w:space="0" w:color="auto"/>
        <w:right w:val="none" w:sz="0" w:space="0" w:color="auto"/>
      </w:divBdr>
    </w:div>
    <w:div w:id="950010191">
      <w:bodyDiv w:val="1"/>
      <w:marLeft w:val="0"/>
      <w:marRight w:val="0"/>
      <w:marTop w:val="0"/>
      <w:marBottom w:val="0"/>
      <w:divBdr>
        <w:top w:val="none" w:sz="0" w:space="0" w:color="auto"/>
        <w:left w:val="none" w:sz="0" w:space="0" w:color="auto"/>
        <w:bottom w:val="none" w:sz="0" w:space="0" w:color="auto"/>
        <w:right w:val="none" w:sz="0" w:space="0" w:color="auto"/>
      </w:divBdr>
    </w:div>
    <w:div w:id="1034038087">
      <w:bodyDiv w:val="1"/>
      <w:marLeft w:val="0"/>
      <w:marRight w:val="0"/>
      <w:marTop w:val="0"/>
      <w:marBottom w:val="0"/>
      <w:divBdr>
        <w:top w:val="none" w:sz="0" w:space="0" w:color="auto"/>
        <w:left w:val="none" w:sz="0" w:space="0" w:color="auto"/>
        <w:bottom w:val="none" w:sz="0" w:space="0" w:color="auto"/>
        <w:right w:val="none" w:sz="0" w:space="0" w:color="auto"/>
      </w:divBdr>
    </w:div>
    <w:div w:id="1087073821">
      <w:bodyDiv w:val="1"/>
      <w:marLeft w:val="0"/>
      <w:marRight w:val="0"/>
      <w:marTop w:val="0"/>
      <w:marBottom w:val="0"/>
      <w:divBdr>
        <w:top w:val="none" w:sz="0" w:space="0" w:color="auto"/>
        <w:left w:val="none" w:sz="0" w:space="0" w:color="auto"/>
        <w:bottom w:val="none" w:sz="0" w:space="0" w:color="auto"/>
        <w:right w:val="none" w:sz="0" w:space="0" w:color="auto"/>
      </w:divBdr>
      <w:divsChild>
        <w:div w:id="1586692148">
          <w:marLeft w:val="0"/>
          <w:marRight w:val="0"/>
          <w:marTop w:val="15"/>
          <w:marBottom w:val="0"/>
          <w:divBdr>
            <w:top w:val="none" w:sz="0" w:space="0" w:color="auto"/>
            <w:left w:val="none" w:sz="0" w:space="0" w:color="auto"/>
            <w:bottom w:val="none" w:sz="0" w:space="0" w:color="auto"/>
            <w:right w:val="none" w:sz="0" w:space="0" w:color="auto"/>
          </w:divBdr>
          <w:divsChild>
            <w:div w:id="586305404">
              <w:marLeft w:val="0"/>
              <w:marRight w:val="0"/>
              <w:marTop w:val="0"/>
              <w:marBottom w:val="0"/>
              <w:divBdr>
                <w:top w:val="none" w:sz="0" w:space="0" w:color="auto"/>
                <w:left w:val="none" w:sz="0" w:space="0" w:color="auto"/>
                <w:bottom w:val="none" w:sz="0" w:space="0" w:color="auto"/>
                <w:right w:val="none" w:sz="0" w:space="0" w:color="auto"/>
              </w:divBdr>
            </w:div>
          </w:divsChild>
        </w:div>
        <w:div w:id="1621105874">
          <w:marLeft w:val="0"/>
          <w:marRight w:val="0"/>
          <w:marTop w:val="15"/>
          <w:marBottom w:val="0"/>
          <w:divBdr>
            <w:top w:val="none" w:sz="0" w:space="0" w:color="auto"/>
            <w:left w:val="none" w:sz="0" w:space="0" w:color="auto"/>
            <w:bottom w:val="none" w:sz="0" w:space="0" w:color="auto"/>
            <w:right w:val="none" w:sz="0" w:space="0" w:color="auto"/>
          </w:divBdr>
          <w:divsChild>
            <w:div w:id="1344893929">
              <w:marLeft w:val="0"/>
              <w:marRight w:val="0"/>
              <w:marTop w:val="0"/>
              <w:marBottom w:val="0"/>
              <w:divBdr>
                <w:top w:val="none" w:sz="0" w:space="0" w:color="auto"/>
                <w:left w:val="none" w:sz="0" w:space="0" w:color="auto"/>
                <w:bottom w:val="none" w:sz="0" w:space="0" w:color="auto"/>
                <w:right w:val="none" w:sz="0" w:space="0" w:color="auto"/>
              </w:divBdr>
            </w:div>
          </w:divsChild>
        </w:div>
        <w:div w:id="107284861">
          <w:marLeft w:val="0"/>
          <w:marRight w:val="0"/>
          <w:marTop w:val="15"/>
          <w:marBottom w:val="0"/>
          <w:divBdr>
            <w:top w:val="none" w:sz="0" w:space="0" w:color="auto"/>
            <w:left w:val="none" w:sz="0" w:space="0" w:color="auto"/>
            <w:bottom w:val="none" w:sz="0" w:space="0" w:color="auto"/>
            <w:right w:val="none" w:sz="0" w:space="0" w:color="auto"/>
          </w:divBdr>
          <w:divsChild>
            <w:div w:id="1015495067">
              <w:marLeft w:val="0"/>
              <w:marRight w:val="0"/>
              <w:marTop w:val="0"/>
              <w:marBottom w:val="0"/>
              <w:divBdr>
                <w:top w:val="none" w:sz="0" w:space="0" w:color="auto"/>
                <w:left w:val="none" w:sz="0" w:space="0" w:color="auto"/>
                <w:bottom w:val="none" w:sz="0" w:space="0" w:color="auto"/>
                <w:right w:val="none" w:sz="0" w:space="0" w:color="auto"/>
              </w:divBdr>
            </w:div>
          </w:divsChild>
        </w:div>
        <w:div w:id="1955362698">
          <w:marLeft w:val="0"/>
          <w:marRight w:val="0"/>
          <w:marTop w:val="15"/>
          <w:marBottom w:val="0"/>
          <w:divBdr>
            <w:top w:val="none" w:sz="0" w:space="0" w:color="auto"/>
            <w:left w:val="none" w:sz="0" w:space="0" w:color="auto"/>
            <w:bottom w:val="none" w:sz="0" w:space="0" w:color="auto"/>
            <w:right w:val="none" w:sz="0" w:space="0" w:color="auto"/>
          </w:divBdr>
          <w:divsChild>
            <w:div w:id="161357606">
              <w:marLeft w:val="0"/>
              <w:marRight w:val="0"/>
              <w:marTop w:val="0"/>
              <w:marBottom w:val="0"/>
              <w:divBdr>
                <w:top w:val="none" w:sz="0" w:space="0" w:color="auto"/>
                <w:left w:val="none" w:sz="0" w:space="0" w:color="auto"/>
                <w:bottom w:val="none" w:sz="0" w:space="0" w:color="auto"/>
                <w:right w:val="none" w:sz="0" w:space="0" w:color="auto"/>
              </w:divBdr>
            </w:div>
          </w:divsChild>
        </w:div>
        <w:div w:id="613941887">
          <w:marLeft w:val="0"/>
          <w:marRight w:val="0"/>
          <w:marTop w:val="15"/>
          <w:marBottom w:val="0"/>
          <w:divBdr>
            <w:top w:val="none" w:sz="0" w:space="0" w:color="auto"/>
            <w:left w:val="none" w:sz="0" w:space="0" w:color="auto"/>
            <w:bottom w:val="none" w:sz="0" w:space="0" w:color="auto"/>
            <w:right w:val="none" w:sz="0" w:space="0" w:color="auto"/>
          </w:divBdr>
          <w:divsChild>
            <w:div w:id="1657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4567">
      <w:bodyDiv w:val="1"/>
      <w:marLeft w:val="0"/>
      <w:marRight w:val="0"/>
      <w:marTop w:val="0"/>
      <w:marBottom w:val="0"/>
      <w:divBdr>
        <w:top w:val="none" w:sz="0" w:space="0" w:color="auto"/>
        <w:left w:val="none" w:sz="0" w:space="0" w:color="auto"/>
        <w:bottom w:val="none" w:sz="0" w:space="0" w:color="auto"/>
        <w:right w:val="none" w:sz="0" w:space="0" w:color="auto"/>
      </w:divBdr>
    </w:div>
    <w:div w:id="1145587090">
      <w:bodyDiv w:val="1"/>
      <w:marLeft w:val="0"/>
      <w:marRight w:val="0"/>
      <w:marTop w:val="0"/>
      <w:marBottom w:val="0"/>
      <w:divBdr>
        <w:top w:val="none" w:sz="0" w:space="0" w:color="auto"/>
        <w:left w:val="none" w:sz="0" w:space="0" w:color="auto"/>
        <w:bottom w:val="none" w:sz="0" w:space="0" w:color="auto"/>
        <w:right w:val="none" w:sz="0" w:space="0" w:color="auto"/>
      </w:divBdr>
    </w:div>
    <w:div w:id="1178887524">
      <w:bodyDiv w:val="1"/>
      <w:marLeft w:val="0"/>
      <w:marRight w:val="0"/>
      <w:marTop w:val="0"/>
      <w:marBottom w:val="0"/>
      <w:divBdr>
        <w:top w:val="none" w:sz="0" w:space="0" w:color="auto"/>
        <w:left w:val="none" w:sz="0" w:space="0" w:color="auto"/>
        <w:bottom w:val="none" w:sz="0" w:space="0" w:color="auto"/>
        <w:right w:val="none" w:sz="0" w:space="0" w:color="auto"/>
      </w:divBdr>
    </w:div>
    <w:div w:id="1192378347">
      <w:bodyDiv w:val="1"/>
      <w:marLeft w:val="0"/>
      <w:marRight w:val="0"/>
      <w:marTop w:val="0"/>
      <w:marBottom w:val="0"/>
      <w:divBdr>
        <w:top w:val="none" w:sz="0" w:space="0" w:color="auto"/>
        <w:left w:val="none" w:sz="0" w:space="0" w:color="auto"/>
        <w:bottom w:val="none" w:sz="0" w:space="0" w:color="auto"/>
        <w:right w:val="none" w:sz="0" w:space="0" w:color="auto"/>
      </w:divBdr>
    </w:div>
    <w:div w:id="1227690262">
      <w:bodyDiv w:val="1"/>
      <w:marLeft w:val="0"/>
      <w:marRight w:val="0"/>
      <w:marTop w:val="0"/>
      <w:marBottom w:val="0"/>
      <w:divBdr>
        <w:top w:val="none" w:sz="0" w:space="0" w:color="auto"/>
        <w:left w:val="none" w:sz="0" w:space="0" w:color="auto"/>
        <w:bottom w:val="none" w:sz="0" w:space="0" w:color="auto"/>
        <w:right w:val="none" w:sz="0" w:space="0" w:color="auto"/>
      </w:divBdr>
    </w:div>
    <w:div w:id="1237208588">
      <w:bodyDiv w:val="1"/>
      <w:marLeft w:val="0"/>
      <w:marRight w:val="0"/>
      <w:marTop w:val="0"/>
      <w:marBottom w:val="0"/>
      <w:divBdr>
        <w:top w:val="none" w:sz="0" w:space="0" w:color="auto"/>
        <w:left w:val="none" w:sz="0" w:space="0" w:color="auto"/>
        <w:bottom w:val="none" w:sz="0" w:space="0" w:color="auto"/>
        <w:right w:val="none" w:sz="0" w:space="0" w:color="auto"/>
      </w:divBdr>
    </w:div>
    <w:div w:id="1237403402">
      <w:bodyDiv w:val="1"/>
      <w:marLeft w:val="0"/>
      <w:marRight w:val="0"/>
      <w:marTop w:val="0"/>
      <w:marBottom w:val="0"/>
      <w:divBdr>
        <w:top w:val="none" w:sz="0" w:space="0" w:color="auto"/>
        <w:left w:val="none" w:sz="0" w:space="0" w:color="auto"/>
        <w:bottom w:val="none" w:sz="0" w:space="0" w:color="auto"/>
        <w:right w:val="none" w:sz="0" w:space="0" w:color="auto"/>
      </w:divBdr>
    </w:div>
    <w:div w:id="1476608639">
      <w:bodyDiv w:val="1"/>
      <w:marLeft w:val="0"/>
      <w:marRight w:val="0"/>
      <w:marTop w:val="0"/>
      <w:marBottom w:val="0"/>
      <w:divBdr>
        <w:top w:val="none" w:sz="0" w:space="0" w:color="auto"/>
        <w:left w:val="none" w:sz="0" w:space="0" w:color="auto"/>
        <w:bottom w:val="none" w:sz="0" w:space="0" w:color="auto"/>
        <w:right w:val="none" w:sz="0" w:space="0" w:color="auto"/>
      </w:divBdr>
    </w:div>
    <w:div w:id="1575315335">
      <w:bodyDiv w:val="1"/>
      <w:marLeft w:val="0"/>
      <w:marRight w:val="0"/>
      <w:marTop w:val="0"/>
      <w:marBottom w:val="0"/>
      <w:divBdr>
        <w:top w:val="none" w:sz="0" w:space="0" w:color="auto"/>
        <w:left w:val="none" w:sz="0" w:space="0" w:color="auto"/>
        <w:bottom w:val="none" w:sz="0" w:space="0" w:color="auto"/>
        <w:right w:val="none" w:sz="0" w:space="0" w:color="auto"/>
      </w:divBdr>
    </w:div>
    <w:div w:id="1580361560">
      <w:bodyDiv w:val="1"/>
      <w:marLeft w:val="0"/>
      <w:marRight w:val="0"/>
      <w:marTop w:val="0"/>
      <w:marBottom w:val="0"/>
      <w:divBdr>
        <w:top w:val="none" w:sz="0" w:space="0" w:color="auto"/>
        <w:left w:val="none" w:sz="0" w:space="0" w:color="auto"/>
        <w:bottom w:val="none" w:sz="0" w:space="0" w:color="auto"/>
        <w:right w:val="none" w:sz="0" w:space="0" w:color="auto"/>
      </w:divBdr>
      <w:divsChild>
        <w:div w:id="1007824615">
          <w:marLeft w:val="0"/>
          <w:marRight w:val="0"/>
          <w:marTop w:val="0"/>
          <w:marBottom w:val="0"/>
          <w:divBdr>
            <w:top w:val="none" w:sz="0" w:space="0" w:color="auto"/>
            <w:left w:val="none" w:sz="0" w:space="0" w:color="auto"/>
            <w:bottom w:val="none" w:sz="0" w:space="0" w:color="auto"/>
            <w:right w:val="none" w:sz="0" w:space="0" w:color="auto"/>
          </w:divBdr>
        </w:div>
        <w:div w:id="1764909904">
          <w:marLeft w:val="0"/>
          <w:marRight w:val="0"/>
          <w:marTop w:val="0"/>
          <w:marBottom w:val="0"/>
          <w:divBdr>
            <w:top w:val="none" w:sz="0" w:space="0" w:color="auto"/>
            <w:left w:val="none" w:sz="0" w:space="0" w:color="auto"/>
            <w:bottom w:val="none" w:sz="0" w:space="0" w:color="auto"/>
            <w:right w:val="none" w:sz="0" w:space="0" w:color="auto"/>
          </w:divBdr>
        </w:div>
        <w:div w:id="391849506">
          <w:marLeft w:val="0"/>
          <w:marRight w:val="0"/>
          <w:marTop w:val="0"/>
          <w:marBottom w:val="0"/>
          <w:divBdr>
            <w:top w:val="none" w:sz="0" w:space="0" w:color="auto"/>
            <w:left w:val="none" w:sz="0" w:space="0" w:color="auto"/>
            <w:bottom w:val="none" w:sz="0" w:space="0" w:color="auto"/>
            <w:right w:val="none" w:sz="0" w:space="0" w:color="auto"/>
          </w:divBdr>
        </w:div>
        <w:div w:id="137306096">
          <w:marLeft w:val="0"/>
          <w:marRight w:val="0"/>
          <w:marTop w:val="0"/>
          <w:marBottom w:val="0"/>
          <w:divBdr>
            <w:top w:val="none" w:sz="0" w:space="0" w:color="auto"/>
            <w:left w:val="none" w:sz="0" w:space="0" w:color="auto"/>
            <w:bottom w:val="none" w:sz="0" w:space="0" w:color="auto"/>
            <w:right w:val="none" w:sz="0" w:space="0" w:color="auto"/>
          </w:divBdr>
        </w:div>
      </w:divsChild>
    </w:div>
    <w:div w:id="1596285837">
      <w:bodyDiv w:val="1"/>
      <w:marLeft w:val="0"/>
      <w:marRight w:val="0"/>
      <w:marTop w:val="0"/>
      <w:marBottom w:val="0"/>
      <w:divBdr>
        <w:top w:val="none" w:sz="0" w:space="0" w:color="auto"/>
        <w:left w:val="none" w:sz="0" w:space="0" w:color="auto"/>
        <w:bottom w:val="none" w:sz="0" w:space="0" w:color="auto"/>
        <w:right w:val="none" w:sz="0" w:space="0" w:color="auto"/>
      </w:divBdr>
    </w:div>
    <w:div w:id="1644238506">
      <w:bodyDiv w:val="1"/>
      <w:marLeft w:val="0"/>
      <w:marRight w:val="0"/>
      <w:marTop w:val="0"/>
      <w:marBottom w:val="0"/>
      <w:divBdr>
        <w:top w:val="none" w:sz="0" w:space="0" w:color="auto"/>
        <w:left w:val="none" w:sz="0" w:space="0" w:color="auto"/>
        <w:bottom w:val="none" w:sz="0" w:space="0" w:color="auto"/>
        <w:right w:val="none" w:sz="0" w:space="0" w:color="auto"/>
      </w:divBdr>
    </w:div>
    <w:div w:id="1647860218">
      <w:bodyDiv w:val="1"/>
      <w:marLeft w:val="0"/>
      <w:marRight w:val="0"/>
      <w:marTop w:val="0"/>
      <w:marBottom w:val="0"/>
      <w:divBdr>
        <w:top w:val="none" w:sz="0" w:space="0" w:color="auto"/>
        <w:left w:val="none" w:sz="0" w:space="0" w:color="auto"/>
        <w:bottom w:val="none" w:sz="0" w:space="0" w:color="auto"/>
        <w:right w:val="none" w:sz="0" w:space="0" w:color="auto"/>
      </w:divBdr>
    </w:div>
    <w:div w:id="1679309957">
      <w:bodyDiv w:val="1"/>
      <w:marLeft w:val="0"/>
      <w:marRight w:val="0"/>
      <w:marTop w:val="0"/>
      <w:marBottom w:val="0"/>
      <w:divBdr>
        <w:top w:val="none" w:sz="0" w:space="0" w:color="auto"/>
        <w:left w:val="none" w:sz="0" w:space="0" w:color="auto"/>
        <w:bottom w:val="none" w:sz="0" w:space="0" w:color="auto"/>
        <w:right w:val="none" w:sz="0" w:space="0" w:color="auto"/>
      </w:divBdr>
    </w:div>
    <w:div w:id="1707482161">
      <w:bodyDiv w:val="1"/>
      <w:marLeft w:val="0"/>
      <w:marRight w:val="0"/>
      <w:marTop w:val="0"/>
      <w:marBottom w:val="0"/>
      <w:divBdr>
        <w:top w:val="none" w:sz="0" w:space="0" w:color="auto"/>
        <w:left w:val="none" w:sz="0" w:space="0" w:color="auto"/>
        <w:bottom w:val="none" w:sz="0" w:space="0" w:color="auto"/>
        <w:right w:val="none" w:sz="0" w:space="0" w:color="auto"/>
      </w:divBdr>
    </w:div>
    <w:div w:id="1901672437">
      <w:bodyDiv w:val="1"/>
      <w:marLeft w:val="0"/>
      <w:marRight w:val="0"/>
      <w:marTop w:val="0"/>
      <w:marBottom w:val="0"/>
      <w:divBdr>
        <w:top w:val="none" w:sz="0" w:space="0" w:color="auto"/>
        <w:left w:val="none" w:sz="0" w:space="0" w:color="auto"/>
        <w:bottom w:val="none" w:sz="0" w:space="0" w:color="auto"/>
        <w:right w:val="none" w:sz="0" w:space="0" w:color="auto"/>
      </w:divBdr>
    </w:div>
    <w:div w:id="1918858138">
      <w:bodyDiv w:val="1"/>
      <w:marLeft w:val="0"/>
      <w:marRight w:val="0"/>
      <w:marTop w:val="0"/>
      <w:marBottom w:val="0"/>
      <w:divBdr>
        <w:top w:val="none" w:sz="0" w:space="0" w:color="auto"/>
        <w:left w:val="none" w:sz="0" w:space="0" w:color="auto"/>
        <w:bottom w:val="none" w:sz="0" w:space="0" w:color="auto"/>
        <w:right w:val="none" w:sz="0" w:space="0" w:color="auto"/>
      </w:divBdr>
    </w:div>
    <w:div w:id="1940915244">
      <w:bodyDiv w:val="1"/>
      <w:marLeft w:val="0"/>
      <w:marRight w:val="0"/>
      <w:marTop w:val="0"/>
      <w:marBottom w:val="0"/>
      <w:divBdr>
        <w:top w:val="none" w:sz="0" w:space="0" w:color="auto"/>
        <w:left w:val="none" w:sz="0" w:space="0" w:color="auto"/>
        <w:bottom w:val="none" w:sz="0" w:space="0" w:color="auto"/>
        <w:right w:val="none" w:sz="0" w:space="0" w:color="auto"/>
      </w:divBdr>
    </w:div>
    <w:div w:id="2010208933">
      <w:bodyDiv w:val="1"/>
      <w:marLeft w:val="0"/>
      <w:marRight w:val="0"/>
      <w:marTop w:val="0"/>
      <w:marBottom w:val="0"/>
      <w:divBdr>
        <w:top w:val="none" w:sz="0" w:space="0" w:color="auto"/>
        <w:left w:val="none" w:sz="0" w:space="0" w:color="auto"/>
        <w:bottom w:val="none" w:sz="0" w:space="0" w:color="auto"/>
        <w:right w:val="none" w:sz="0" w:space="0" w:color="auto"/>
      </w:divBdr>
    </w:div>
    <w:div w:id="2046633964">
      <w:bodyDiv w:val="1"/>
      <w:marLeft w:val="0"/>
      <w:marRight w:val="0"/>
      <w:marTop w:val="0"/>
      <w:marBottom w:val="0"/>
      <w:divBdr>
        <w:top w:val="none" w:sz="0" w:space="0" w:color="auto"/>
        <w:left w:val="none" w:sz="0" w:space="0" w:color="auto"/>
        <w:bottom w:val="none" w:sz="0" w:space="0" w:color="auto"/>
        <w:right w:val="none" w:sz="0" w:space="0" w:color="auto"/>
      </w:divBdr>
      <w:divsChild>
        <w:div w:id="660161345">
          <w:marLeft w:val="0"/>
          <w:marRight w:val="0"/>
          <w:marTop w:val="0"/>
          <w:marBottom w:val="0"/>
          <w:divBdr>
            <w:top w:val="none" w:sz="0" w:space="0" w:color="auto"/>
            <w:left w:val="none" w:sz="0" w:space="0" w:color="auto"/>
            <w:bottom w:val="none" w:sz="0" w:space="0" w:color="auto"/>
            <w:right w:val="none" w:sz="0" w:space="0" w:color="auto"/>
          </w:divBdr>
        </w:div>
        <w:div w:id="637760961">
          <w:marLeft w:val="0"/>
          <w:marRight w:val="0"/>
          <w:marTop w:val="0"/>
          <w:marBottom w:val="0"/>
          <w:divBdr>
            <w:top w:val="none" w:sz="0" w:space="0" w:color="auto"/>
            <w:left w:val="none" w:sz="0" w:space="0" w:color="auto"/>
            <w:bottom w:val="none" w:sz="0" w:space="0" w:color="auto"/>
            <w:right w:val="none" w:sz="0" w:space="0" w:color="auto"/>
          </w:divBdr>
        </w:div>
        <w:div w:id="149761187">
          <w:marLeft w:val="0"/>
          <w:marRight w:val="0"/>
          <w:marTop w:val="0"/>
          <w:marBottom w:val="0"/>
          <w:divBdr>
            <w:top w:val="none" w:sz="0" w:space="0" w:color="auto"/>
            <w:left w:val="none" w:sz="0" w:space="0" w:color="auto"/>
            <w:bottom w:val="none" w:sz="0" w:space="0" w:color="auto"/>
            <w:right w:val="none" w:sz="0" w:space="0" w:color="auto"/>
          </w:divBdr>
        </w:div>
      </w:divsChild>
    </w:div>
    <w:div w:id="2058314486">
      <w:bodyDiv w:val="1"/>
      <w:marLeft w:val="0"/>
      <w:marRight w:val="0"/>
      <w:marTop w:val="0"/>
      <w:marBottom w:val="0"/>
      <w:divBdr>
        <w:top w:val="none" w:sz="0" w:space="0" w:color="auto"/>
        <w:left w:val="none" w:sz="0" w:space="0" w:color="auto"/>
        <w:bottom w:val="none" w:sz="0" w:space="0" w:color="auto"/>
        <w:right w:val="none" w:sz="0" w:space="0" w:color="auto"/>
      </w:divBdr>
    </w:div>
    <w:div w:id="21211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ew.com/-/media/corporate/files/technical/insolvency/regulations-and-standards/sips/england/sip-3-2-e-and-w-company-voluntary-arrangements-1-july-2014.ash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aeburn-smith@bpf.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aeburn-smith@bpf.org.uk" TargetMode="External"/><Relationship Id="rId5" Type="http://schemas.openxmlformats.org/officeDocument/2006/relationships/numbering" Target="numbering.xml"/><Relationship Id="rId15" Type="http://schemas.openxmlformats.org/officeDocument/2006/relationships/hyperlink" Target="https://www.r3.org.uk/stream.asp?stream=true&amp;eid=22103&amp;node=190&amp;checksum=4D5B50FDA3F69E7B4AE00ACACEB5EBA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briefings.files.parliament.uk/documents/SN06944/SN069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B99B90759F8418E10CBFBDA76CD0C" ma:contentTypeVersion="4" ma:contentTypeDescription="Create a new document." ma:contentTypeScope="" ma:versionID="b15381399a565f7ee932b56d9fb66c2f">
  <xsd:schema xmlns:xsd="http://www.w3.org/2001/XMLSchema" xmlns:xs="http://www.w3.org/2001/XMLSchema" xmlns:p="http://schemas.microsoft.com/office/2006/metadata/properties" xmlns:ns2="b8920b28-e74f-423e-a588-7b0852b2e168" targetNamespace="http://schemas.microsoft.com/office/2006/metadata/properties" ma:root="true" ma:fieldsID="e7377fc147fa645136f92ac8cece0d64" ns2:_="">
    <xsd:import namespace="b8920b28-e74f-423e-a588-7b0852b2e1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0b28-e74f-423e-a588-7b0852b2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3028-2C19-4FBD-9B21-763EA80762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ECC1F-B39B-4D58-ACD7-E3DE0ADDF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0b28-e74f-423e-a588-7b0852b2e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D02B5-D0B7-44E9-8DF5-D2B0BA4381D5}">
  <ds:schemaRefs>
    <ds:schemaRef ds:uri="http://schemas.microsoft.com/sharepoint/v3/contenttype/forms"/>
  </ds:schemaRefs>
</ds:datastoreItem>
</file>

<file path=customXml/itemProps4.xml><?xml version="1.0" encoding="utf-8"?>
<ds:datastoreItem xmlns:ds="http://schemas.openxmlformats.org/officeDocument/2006/customXml" ds:itemID="{1837654F-5A4E-457E-85ED-416E6AA4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4154</Words>
  <Characters>23681</Characters>
  <Application>Microsoft Office Word</Application>
  <DocSecurity>0</DocSecurity>
  <Lines>197</Lines>
  <Paragraphs>55</Paragraphs>
  <ScaleCrop>false</ScaleCrop>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Raeburn-Smith</dc:creator>
  <cp:keywords/>
  <dc:description/>
  <cp:lastModifiedBy>Ben Luxford</cp:lastModifiedBy>
  <cp:revision>2</cp:revision>
  <cp:lastPrinted>2020-07-01T15:09:00Z</cp:lastPrinted>
  <dcterms:created xsi:type="dcterms:W3CDTF">2020-11-13T08:52:00Z</dcterms:created>
  <dcterms:modified xsi:type="dcterms:W3CDTF">2020-11-13T08:52:00Z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0x010100B90B99B90759F8418E10CBFBDA76CD0C</vt:lpwstr>
  </property>
</Properties>
</file>